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 w:cs="Times New Roman"/>
          <w:color w:val="0D0D0D"/>
          <w:sz w:val="36"/>
          <w:szCs w:val="36"/>
        </w:rPr>
      </w:pPr>
      <w:r>
        <w:rPr>
          <w:rFonts w:hint="eastAsia" w:ascii="仿宋" w:hAnsi="仿宋" w:eastAsia="仿宋" w:cs="Times New Roman"/>
          <w:b/>
          <w:bCs/>
          <w:color w:val="0D0D0D"/>
          <w:sz w:val="36"/>
          <w:szCs w:val="36"/>
          <w:lang w:eastAsia="zh-CN"/>
        </w:rPr>
        <w:t>诗林东路东侧</w:t>
      </w:r>
      <w:r>
        <w:rPr>
          <w:rFonts w:hint="eastAsia" w:ascii="仿宋" w:hAnsi="仿宋" w:eastAsia="仿宋" w:cs="Times New Roman"/>
          <w:b/>
          <w:bCs/>
          <w:color w:val="0D0D0D"/>
          <w:sz w:val="36"/>
          <w:szCs w:val="36"/>
        </w:rPr>
        <w:t>片区土地征收成片开发方案</w:t>
      </w:r>
      <w:bookmarkStart w:id="0" w:name="_Hlk62210993"/>
    </w:p>
    <w:bookmarkEnd w:id="0"/>
    <w:p>
      <w:pPr>
        <w:pStyle w:val="3"/>
        <w:rPr>
          <w:rFonts w:ascii="仿宋" w:hAnsi="仿宋" w:eastAsia="仿宋"/>
          <w:color w:val="000000" w:themeColor="text1"/>
          <w:sz w:val="21"/>
          <w:szCs w:val="22"/>
          <w14:textFill>
            <w14:solidFill>
              <w14:schemeClr w14:val="tx1"/>
            </w14:solidFill>
          </w14:textFill>
        </w:rPr>
      </w:pPr>
      <w:bookmarkStart w:id="1" w:name="_Toc105766868"/>
      <w:r>
        <w:rPr>
          <w:rFonts w:hint="eastAsia" w:ascii="仿宋" w:hAnsi="仿宋" w:eastAsia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仿宋" w:hAnsi="仿宋" w:eastAsia="仿宋"/>
          <w:color w:val="000000" w:themeColor="text1"/>
          <w14:textFill>
            <w14:solidFill>
              <w14:schemeClr w14:val="tx1"/>
            </w14:solidFill>
          </w14:textFill>
        </w:rPr>
        <w:t>编制依据</w:t>
      </w:r>
      <w:r>
        <w:rPr>
          <w:rFonts w:ascii="仿宋" w:hAnsi="仿宋" w:eastAsia="仿宋"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360" w:lineRule="auto"/>
        <w:ind w:firstLine="560" w:firstLineChars="200"/>
        <w:rPr>
          <w:rFonts w:ascii="仿宋" w:hAnsi="仿宋" w:eastAsia="仿宋" w:cs="Times New Roman"/>
          <w:sz w:val="28"/>
          <w:szCs w:val="28"/>
        </w:rPr>
      </w:pPr>
      <w:bookmarkStart w:id="2" w:name="_Hlk89672697"/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依据</w:t>
      </w:r>
      <w:r>
        <w:rPr>
          <w:rFonts w:ascii="仿宋" w:hAnsi="仿宋" w:eastAsia="仿宋" w:cs="Times New Roman"/>
          <w:sz w:val="28"/>
          <w:szCs w:val="28"/>
        </w:rPr>
        <w:t>《中华人民共和国土地管理法》《中华人民共和国城乡规划法》</w:t>
      </w:r>
      <w:bookmarkEnd w:id="2"/>
      <w:r>
        <w:rPr>
          <w:rFonts w:hint="eastAsia" w:ascii="仿宋" w:hAnsi="仿宋" w:eastAsia="仿宋" w:cs="Times New Roman"/>
          <w:sz w:val="28"/>
          <w:szCs w:val="28"/>
        </w:rPr>
        <w:t>《自然资源部关于印发〈土地征收成片开发标准〉的通知》（自然资规〔2023〕7 号）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Times New Roman"/>
          <w:sz w:val="28"/>
          <w:szCs w:val="28"/>
        </w:rPr>
        <w:t>《国土空间调查、规划、用途管制用地用海分类指南》（自然资发〔2023〕234号）等编制本方案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bookmarkEnd w:id="1"/>
    <w:p>
      <w:pPr>
        <w:pStyle w:val="3"/>
        <w:rPr>
          <w:rFonts w:ascii="仿宋" w:hAnsi="仿宋" w:eastAsia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3" w:name="_Toc63277241"/>
      <w:bookmarkStart w:id="4" w:name="_Toc105766875"/>
      <w:r>
        <w:rPr>
          <w:rFonts w:hint="eastAsia" w:ascii="仿宋" w:hAnsi="仿宋" w:eastAsia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二、成片开发位置、范围</w:t>
      </w:r>
      <w:bookmarkEnd w:id="3"/>
      <w:r>
        <w:rPr>
          <w:rFonts w:hint="eastAsia" w:ascii="仿宋" w:hAnsi="仿宋" w:eastAsia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、面积</w:t>
      </w:r>
      <w:bookmarkEnd w:id="4"/>
    </w:p>
    <w:p>
      <w:pPr>
        <w:ind w:firstLine="585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本次成片开发范围北至诗林中路，南至</w:t>
      </w:r>
      <w:r>
        <w:rPr>
          <w:rFonts w:hint="eastAsia" w:ascii="仿宋" w:hAnsi="仿宋" w:eastAsia="仿宋"/>
          <w:sz w:val="28"/>
          <w:szCs w:val="28"/>
          <w:lang w:eastAsia="zh-CN"/>
        </w:rPr>
        <w:t>严山</w:t>
      </w:r>
      <w:r>
        <w:rPr>
          <w:rFonts w:hint="eastAsia" w:ascii="仿宋" w:hAnsi="仿宋" w:eastAsia="仿宋"/>
          <w:sz w:val="28"/>
          <w:szCs w:val="28"/>
        </w:rPr>
        <w:t>，东至蒋尾山，西临诗林东路。本方案涉及翔安区新圩镇东寮社区，共1街道1社区；涉及厦门市人民政府1个国有单位，不涉及省级和国家级开发区。</w:t>
      </w:r>
    </w:p>
    <w:p>
      <w:pPr>
        <w:ind w:firstLine="585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8"/>
          <w:szCs w:val="28"/>
        </w:rPr>
        <w:t>根据实地勘测调查，本方案成片开发范围总面积8.7260 公顷。其中，农用地6.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093</w:t>
      </w:r>
      <w:r>
        <w:rPr>
          <w:rFonts w:hint="eastAsia" w:ascii="仿宋" w:hAnsi="仿宋" w:eastAsia="仿宋"/>
          <w:sz w:val="28"/>
          <w:szCs w:val="28"/>
        </w:rPr>
        <w:t>9公顷（耕地2.5915公顷），建设用地2.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632</w:t>
      </w:r>
      <w:r>
        <w:rPr>
          <w:rFonts w:hint="eastAsia" w:ascii="仿宋" w:hAnsi="仿宋" w:eastAsia="仿宋"/>
          <w:sz w:val="28"/>
          <w:szCs w:val="28"/>
        </w:rPr>
        <w:t>1公顷，无未利用地</w:t>
      </w:r>
      <w:r>
        <w:rPr>
          <w:rFonts w:ascii="仿宋" w:hAnsi="仿宋" w:eastAsia="仿宋"/>
          <w:sz w:val="28"/>
          <w:szCs w:val="28"/>
        </w:rPr>
        <w:t>。</w:t>
      </w:r>
    </w:p>
    <w:p>
      <w:pPr>
        <w:pStyle w:val="3"/>
        <w:rPr>
          <w:rFonts w:ascii="仿宋" w:hAnsi="仿宋" w:eastAsia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5" w:name="_Toc105766879"/>
      <w:bookmarkStart w:id="6" w:name="_Toc93070457"/>
      <w:r>
        <w:rPr>
          <w:rFonts w:hint="eastAsia" w:ascii="仿宋" w:hAnsi="仿宋" w:eastAsia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三、必要性分析</w:t>
      </w:r>
      <w:bookmarkEnd w:id="5"/>
    </w:p>
    <w:bookmarkEnd w:id="6"/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lang w:eastAsia="zh-CN"/>
        </w:rPr>
        <w:t>诗林东路东侧片区的开发将为厦门市环保产业发展注入强大动力，大力提升区域废物的处理能力，完善区域产业链条，形成更具规模的环保产业集群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。将以毗邻专精特新产业园等重点项目、毗邻城市快速路诗林中路的区位交通优势，进一步巩固提升区域城市建设成果，形成集中连片开发，助力翔安北部迈向更具规模效应的产城融合板块</w:t>
      </w:r>
      <w:r>
        <w:rPr>
          <w:rFonts w:hint="eastAsia" w:ascii="仿宋" w:hAnsi="仿宋" w:eastAsia="仿宋"/>
          <w:sz w:val="28"/>
          <w:szCs w:val="28"/>
        </w:rPr>
        <w:t>。</w:t>
      </w:r>
    </w:p>
    <w:p>
      <w:pPr>
        <w:pStyle w:val="3"/>
        <w:rPr>
          <w:rFonts w:ascii="仿宋" w:hAnsi="仿宋" w:eastAsia="仿宋"/>
          <w:sz w:val="36"/>
          <w:szCs w:val="36"/>
        </w:rPr>
      </w:pPr>
      <w:bookmarkStart w:id="7" w:name="_Toc105766881"/>
      <w:r>
        <w:rPr>
          <w:rFonts w:hint="eastAsia" w:ascii="仿宋" w:hAnsi="仿宋" w:eastAsia="仿宋"/>
          <w:sz w:val="36"/>
          <w:szCs w:val="36"/>
        </w:rPr>
        <w:t>四、主要用途和公益性用地比例</w:t>
      </w:r>
      <w:bookmarkEnd w:id="7"/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bookmarkStart w:id="8" w:name="_Hlk62216564"/>
      <w:r>
        <w:rPr>
          <w:rFonts w:hint="eastAsia" w:ascii="仿宋" w:hAnsi="仿宋" w:eastAsia="仿宋"/>
          <w:sz w:val="28"/>
          <w:szCs w:val="28"/>
        </w:rPr>
        <w:t>本方案用地总面积8.7260公顷，主要用途为城镇</w:t>
      </w:r>
      <w:r>
        <w:rPr>
          <w:rFonts w:hint="eastAsia" w:ascii="仿宋" w:hAnsi="仿宋" w:eastAsia="仿宋"/>
          <w:sz w:val="28"/>
          <w:szCs w:val="28"/>
          <w:lang w:eastAsia="zh-CN"/>
        </w:rPr>
        <w:t>村</w:t>
      </w:r>
      <w:r>
        <w:rPr>
          <w:rFonts w:hint="eastAsia" w:ascii="仿宋" w:hAnsi="仿宋" w:eastAsia="仿宋"/>
          <w:sz w:val="28"/>
          <w:szCs w:val="28"/>
        </w:rPr>
        <w:t>道路用地。</w:t>
      </w:r>
      <w:bookmarkEnd w:id="8"/>
      <w:r>
        <w:rPr>
          <w:rFonts w:hint="eastAsia" w:ascii="仿宋" w:hAnsi="仿宋" w:eastAsia="仿宋"/>
          <w:sz w:val="28"/>
          <w:szCs w:val="28"/>
        </w:rPr>
        <w:t>公益性用地包含城镇</w:t>
      </w:r>
      <w:r>
        <w:rPr>
          <w:rFonts w:hint="eastAsia" w:ascii="仿宋" w:hAnsi="仿宋" w:eastAsia="仿宋"/>
          <w:sz w:val="28"/>
          <w:szCs w:val="28"/>
          <w:lang w:eastAsia="zh-CN"/>
        </w:rPr>
        <w:t>村</w:t>
      </w:r>
      <w:r>
        <w:rPr>
          <w:rFonts w:hint="eastAsia" w:ascii="仿宋" w:hAnsi="仿宋" w:eastAsia="仿宋"/>
          <w:sz w:val="28"/>
          <w:szCs w:val="28"/>
        </w:rPr>
        <w:t>道路用地、防护绿地，合计3.6680公顷，占用地总面积的42.04%</w:t>
      </w:r>
      <w:r>
        <w:rPr>
          <w:rFonts w:ascii="仿宋" w:hAnsi="仿宋" w:eastAsia="仿宋"/>
          <w:sz w:val="28"/>
          <w:szCs w:val="28"/>
        </w:rPr>
        <w:t>。</w:t>
      </w:r>
    </w:p>
    <w:p>
      <w:pPr>
        <w:pStyle w:val="3"/>
        <w:rPr>
          <w:rFonts w:ascii="仿宋" w:hAnsi="仿宋" w:eastAsia="仿宋"/>
          <w:sz w:val="36"/>
          <w:szCs w:val="36"/>
        </w:rPr>
      </w:pPr>
      <w:bookmarkStart w:id="9" w:name="_Toc105766886"/>
      <w:r>
        <w:rPr>
          <w:rFonts w:hint="eastAsia" w:ascii="仿宋" w:hAnsi="仿宋" w:eastAsia="仿宋"/>
          <w:sz w:val="36"/>
          <w:szCs w:val="36"/>
        </w:rPr>
        <w:t>五、拟安排项目情况</w:t>
      </w:r>
      <w:bookmarkEnd w:id="9"/>
    </w:p>
    <w:p>
      <w:pPr>
        <w:ind w:firstLine="560" w:firstLineChars="200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8"/>
          <w:szCs w:val="28"/>
        </w:rPr>
        <w:t>本方案拟安排实施项目面积7.7747公顷，计划实施周期为批复后第一年至第三年，3年内实施完毕。</w:t>
      </w:r>
    </w:p>
    <w:p>
      <w:pPr>
        <w:pStyle w:val="3"/>
        <w:rPr>
          <w:rFonts w:ascii="仿宋" w:hAnsi="仿宋" w:eastAsia="仿宋"/>
          <w:sz w:val="36"/>
          <w:szCs w:val="36"/>
        </w:rPr>
      </w:pPr>
      <w:bookmarkStart w:id="10" w:name="_Toc105766888"/>
      <w:r>
        <w:rPr>
          <w:rFonts w:hint="eastAsia" w:ascii="仿宋" w:hAnsi="仿宋" w:eastAsia="仿宋"/>
          <w:sz w:val="36"/>
          <w:szCs w:val="36"/>
        </w:rPr>
        <w:t>六、合规性分析</w:t>
      </w:r>
      <w:bookmarkEnd w:id="10"/>
    </w:p>
    <w:p>
      <w:pPr>
        <w:ind w:firstLine="560" w:firstLineChars="200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本方案符合《厦门市翔安区国民经济和社会发展第十四个五年规划和二O三五年远景目标纲要》，纳入翔安区202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年国民经济和社会发展计划。未占用</w:t>
      </w:r>
      <w:bookmarkStart w:id="22" w:name="_GoBack"/>
      <w:bookmarkEnd w:id="22"/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永久基本农田、生态保护红线等，符合成片开发项目送审报批的要求。</w:t>
      </w:r>
    </w:p>
    <w:p>
      <w:pPr>
        <w:pStyle w:val="3"/>
        <w:rPr>
          <w:rFonts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>七、效益评估</w:t>
      </w:r>
      <w:bookmarkStart w:id="11" w:name="_Toc76895362"/>
      <w:bookmarkStart w:id="12" w:name="_Toc105766893"/>
    </w:p>
    <w:p>
      <w:pPr>
        <w:pStyle w:val="3"/>
        <w:spacing w:before="0" w:after="0"/>
        <w:rPr>
          <w:rFonts w:ascii="仿宋" w:hAnsi="仿宋" w:eastAsia="仿宋" w:cs="Times New Roman"/>
          <w:b w:val="0"/>
          <w:bCs w:val="0"/>
          <w:color w:val="000000"/>
          <w:sz w:val="28"/>
          <w:szCs w:val="28"/>
        </w:rPr>
      </w:pPr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（1</w:t>
      </w:r>
      <w:r>
        <w:rPr>
          <w:rFonts w:ascii="仿宋" w:hAnsi="仿宋" w:eastAsia="仿宋" w:cs="Times New Roman"/>
          <w:b w:val="0"/>
          <w:bCs w:val="0"/>
          <w:color w:val="000000"/>
          <w:sz w:val="28"/>
          <w:szCs w:val="28"/>
        </w:rPr>
        <w:t>）</w:t>
      </w:r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土地利用效益评估</w:t>
      </w:r>
      <w:bookmarkEnd w:id="11"/>
      <w:bookmarkEnd w:id="12"/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：本方案拟重点发展废弃资源综合利用项目，依据《厦门市人民政府办公厅关于印发厦门市工业项目建设用地控制标准（2020版）的通知》，工业用地容积率不低于1.2，提升片区的土地利用效益。</w:t>
      </w:r>
    </w:p>
    <w:p>
      <w:pPr>
        <w:pStyle w:val="4"/>
        <w:spacing w:before="0" w:after="0"/>
        <w:rPr>
          <w:rFonts w:ascii="仿宋" w:hAnsi="仿宋" w:eastAsia="仿宋" w:cs="Times New Roman"/>
          <w:b w:val="0"/>
          <w:bCs w:val="0"/>
          <w:color w:val="000000"/>
          <w:sz w:val="28"/>
          <w:szCs w:val="28"/>
        </w:rPr>
      </w:pPr>
      <w:bookmarkStart w:id="13" w:name="_Toc105766894"/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（2）经济效益评估</w:t>
      </w:r>
      <w:bookmarkEnd w:id="13"/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：</w:t>
      </w:r>
      <w:r>
        <w:rPr>
          <w:rFonts w:hint="eastAsia" w:ascii="仿宋" w:hAnsi="仿宋" w:eastAsia="仿宋"/>
          <w:b w:val="0"/>
          <w:bCs w:val="0"/>
          <w:sz w:val="28"/>
          <w:szCs w:val="28"/>
        </w:rPr>
        <w:t>本次成片开发范围内新增工业用地5.0580公顷，主要发展废弃资源综合利用项目，该项目预计总投资2亿元，预计年产值2.5亿元、可贡献年税收1500万元</w:t>
      </w:r>
      <w:r>
        <w:rPr>
          <w:rFonts w:ascii="仿宋" w:hAnsi="仿宋" w:eastAsia="仿宋"/>
          <w:b w:val="0"/>
          <w:bCs w:val="0"/>
          <w:sz w:val="28"/>
          <w:szCs w:val="28"/>
        </w:rPr>
        <w:t>。</w:t>
      </w:r>
    </w:p>
    <w:p>
      <w:pPr>
        <w:pStyle w:val="4"/>
        <w:spacing w:before="0" w:after="0"/>
        <w:rPr>
          <w:rFonts w:ascii="仿宋" w:hAnsi="仿宋" w:eastAsia="仿宋" w:cs="Times New Roman"/>
          <w:b w:val="0"/>
          <w:bCs w:val="0"/>
          <w:color w:val="000000"/>
          <w:sz w:val="28"/>
          <w:szCs w:val="28"/>
        </w:rPr>
      </w:pPr>
      <w:bookmarkStart w:id="14" w:name="_Toc105766895"/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（3）社会效益评估</w:t>
      </w:r>
      <w:bookmarkEnd w:id="14"/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：本片区共5.0580 公顷的工业用地，参照同类项目按每公顷200个就业岗位计算，可提供就业岗位约1000个。</w:t>
      </w:r>
    </w:p>
    <w:p>
      <w:pPr>
        <w:pStyle w:val="4"/>
        <w:spacing w:before="0" w:after="0"/>
        <w:rPr>
          <w:rFonts w:ascii="仿宋" w:hAnsi="仿宋" w:eastAsia="仿宋" w:cs="Times New Roman"/>
          <w:b w:val="0"/>
          <w:bCs w:val="0"/>
          <w:color w:val="000000"/>
          <w:sz w:val="28"/>
          <w:szCs w:val="28"/>
        </w:rPr>
      </w:pPr>
      <w:bookmarkStart w:id="15" w:name="_Toc105766896"/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（4）生态效益评估</w:t>
      </w:r>
      <w:bookmarkEnd w:id="15"/>
      <w:r>
        <w:rPr>
          <w:rFonts w:hint="eastAsia" w:ascii="仿宋" w:hAnsi="仿宋" w:eastAsia="仿宋" w:cs="Times New Roman"/>
          <w:b w:val="0"/>
          <w:bCs w:val="0"/>
          <w:color w:val="000000"/>
          <w:sz w:val="28"/>
          <w:szCs w:val="28"/>
        </w:rPr>
        <w:t>：</w:t>
      </w:r>
      <w:r>
        <w:rPr>
          <w:rFonts w:hint="eastAsia" w:ascii="仿宋" w:hAnsi="仿宋" w:eastAsia="仿宋"/>
          <w:b w:val="0"/>
          <w:bCs w:val="0"/>
          <w:sz w:val="28"/>
          <w:szCs w:val="28"/>
        </w:rPr>
        <w:t>本方案规划0.9711公顷的防护绿地，降低了对片区生态环境的影响</w:t>
      </w:r>
      <w:r>
        <w:rPr>
          <w:rFonts w:ascii="仿宋" w:hAnsi="仿宋" w:eastAsia="仿宋"/>
          <w:b w:val="0"/>
          <w:bCs w:val="0"/>
          <w:sz w:val="28"/>
          <w:szCs w:val="28"/>
        </w:rPr>
        <w:t>。</w:t>
      </w:r>
    </w:p>
    <w:p>
      <w:pPr>
        <w:widowControl/>
        <w:jc w:val="left"/>
        <w:rPr>
          <w:rFonts w:ascii="仿宋" w:hAnsi="仿宋" w:eastAsia="仿宋" w:cstheme="majorBidi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16" w:name="_Toc105766897"/>
      <w:r>
        <w:rPr>
          <w:rFonts w:hint="eastAsia" w:ascii="仿宋" w:hAnsi="仿宋" w:eastAsia="仿宋" w:cstheme="majorBidi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八、结论</w:t>
      </w:r>
      <w:bookmarkEnd w:id="16"/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土地征收符合国民经济和社会发展规划、已位于城镇建设用地范围内，符合专项规划，已纳入国民经济和社会发展年度计划，符合部省规定的标准，做到了保护耕地、维护农民合法权益、节约集约土地、保护生态环境，能够促进经济社会可持续发展。</w:t>
      </w:r>
      <w:r>
        <w:rPr>
          <w:rFonts w:ascii="仿宋" w:hAnsi="仿宋" w:eastAsia="仿宋"/>
          <w:sz w:val="28"/>
          <w:szCs w:val="28"/>
        </w:rPr>
        <w:br w:type="page"/>
      </w:r>
    </w:p>
    <w:p>
      <w:pPr>
        <w:pStyle w:val="3"/>
        <w:rPr>
          <w:rFonts w:ascii="宋体" w:hAnsi="宋体" w:eastAsia="宋体" w:cs="Times New Roman"/>
          <w:color w:val="000000"/>
          <w:sz w:val="36"/>
          <w:szCs w:val="36"/>
        </w:rPr>
      </w:pPr>
      <w:bookmarkStart w:id="17" w:name="_Toc105766898"/>
      <w:bookmarkStart w:id="18" w:name="_Toc65140223"/>
      <w:bookmarkStart w:id="19" w:name="_Hlk64643222"/>
      <w:bookmarkStart w:id="20" w:name="_Toc63696185"/>
      <w:r>
        <w:rPr>
          <w:rFonts w:hint="eastAsia" w:ascii="宋体" w:hAnsi="宋体" w:eastAsia="宋体" w:cs="Times New Roman"/>
          <w:color w:val="000000"/>
          <w:sz w:val="36"/>
          <w:szCs w:val="36"/>
        </w:rPr>
        <w:t>图件</w:t>
      </w:r>
      <w:bookmarkEnd w:id="17"/>
    </w:p>
    <w:p>
      <w:pPr>
        <w:keepNext/>
        <w:keepLines/>
        <w:spacing w:before="260" w:after="260" w:line="416" w:lineRule="auto"/>
        <w:outlineLvl w:val="2"/>
        <w:rPr>
          <w:rFonts w:ascii="宋体" w:hAnsi="宋体" w:eastAsia="宋体" w:cs="Times New Roman"/>
          <w:b/>
          <w:bCs/>
          <w:color w:val="000000"/>
          <w:sz w:val="32"/>
          <w:szCs w:val="32"/>
        </w:rPr>
      </w:pPr>
      <w:bookmarkStart w:id="21" w:name="_Toc105766899"/>
      <w:r>
        <w:rPr>
          <w:rFonts w:hint="eastAsia" w:ascii="宋体" w:hAnsi="宋体" w:eastAsia="宋体" w:cs="Times New Roman"/>
          <w:b/>
          <w:bCs/>
          <w:color w:val="000000"/>
          <w:sz w:val="32"/>
          <w:szCs w:val="32"/>
        </w:rPr>
        <w:t>附图1</w:t>
      </w:r>
      <w:r>
        <w:rPr>
          <w:rFonts w:ascii="宋体" w:hAnsi="宋体" w:eastAsia="宋体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hint="eastAsia" w:ascii="宋体" w:hAnsi="宋体" w:eastAsia="宋体" w:cs="Times New Roman"/>
          <w:b/>
          <w:bCs/>
          <w:color w:val="000000"/>
          <w:sz w:val="32"/>
          <w:szCs w:val="32"/>
        </w:rPr>
        <w:t>成片开发位置示意图</w:t>
      </w:r>
      <w:bookmarkEnd w:id="21"/>
    </w:p>
    <w:bookmarkEnd w:id="18"/>
    <w:bookmarkEnd w:id="19"/>
    <w:bookmarkEnd w:id="20"/>
    <w:p>
      <w:pPr>
        <w:rPr>
          <w:rFonts w:ascii="宋体" w:hAnsi="宋体" w:eastAsia="宋体" w:cs="Times New Roman"/>
          <w:b/>
          <w:bCs/>
          <w:color w:val="000000"/>
          <w:sz w:val="36"/>
          <w:szCs w:val="36"/>
        </w:rPr>
      </w:pPr>
      <w:r>
        <w:drawing>
          <wp:inline distT="0" distB="0" distL="0" distR="0">
            <wp:extent cx="5260340" cy="7334250"/>
            <wp:effectExtent l="0" t="0" r="16510" b="0"/>
            <wp:docPr id="7" name="图片 7" descr="C:/Users/Huaice Lin/Desktop/七张图 诗林东路/1.jp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/Users/Huaice Lin/Desktop/七张图 诗林东路/1.jpg1"/>
                    <pic:cNvPicPr>
                      <a:picLocks noChangeAspect="1"/>
                    </pic:cNvPicPr>
                  </pic:nvPicPr>
                  <pic:blipFill>
                    <a:blip r:embed="rId5"/>
                    <a:srcRect t="706" b="706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7357287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headerReference r:id="rId3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rPr>
        <w:rFonts w:ascii="仿宋" w:hAnsi="仿宋" w:eastAsia="仿宋"/>
        <w:sz w:val="21"/>
        <w:szCs w:val="21"/>
      </w:rPr>
    </w:pPr>
    <w:r>
      <w:rPr>
        <w:rFonts w:hint="eastAsia" w:ascii="仿宋" w:hAnsi="仿宋" w:eastAsia="仿宋"/>
        <w:sz w:val="21"/>
        <w:szCs w:val="21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dit="readOnly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A08"/>
    <w:rsid w:val="000018F2"/>
    <w:rsid w:val="00006E25"/>
    <w:rsid w:val="00010062"/>
    <w:rsid w:val="00016765"/>
    <w:rsid w:val="00020D70"/>
    <w:rsid w:val="00022620"/>
    <w:rsid w:val="000239DF"/>
    <w:rsid w:val="00024FBF"/>
    <w:rsid w:val="000258AB"/>
    <w:rsid w:val="000329BB"/>
    <w:rsid w:val="00033020"/>
    <w:rsid w:val="00036AE0"/>
    <w:rsid w:val="00040731"/>
    <w:rsid w:val="00040993"/>
    <w:rsid w:val="00041B1D"/>
    <w:rsid w:val="00042CD8"/>
    <w:rsid w:val="0005073E"/>
    <w:rsid w:val="0007106F"/>
    <w:rsid w:val="000741A6"/>
    <w:rsid w:val="00075387"/>
    <w:rsid w:val="00075DEC"/>
    <w:rsid w:val="000761D2"/>
    <w:rsid w:val="000831C7"/>
    <w:rsid w:val="00084D09"/>
    <w:rsid w:val="000859D9"/>
    <w:rsid w:val="00085E5A"/>
    <w:rsid w:val="0008730F"/>
    <w:rsid w:val="0008743B"/>
    <w:rsid w:val="00087C01"/>
    <w:rsid w:val="00091280"/>
    <w:rsid w:val="00094548"/>
    <w:rsid w:val="000A130D"/>
    <w:rsid w:val="000A1449"/>
    <w:rsid w:val="000A3615"/>
    <w:rsid w:val="000A4B8F"/>
    <w:rsid w:val="000A4CF7"/>
    <w:rsid w:val="000A72EF"/>
    <w:rsid w:val="000B48BB"/>
    <w:rsid w:val="000C22C9"/>
    <w:rsid w:val="000C29A9"/>
    <w:rsid w:val="000C7228"/>
    <w:rsid w:val="000C73C7"/>
    <w:rsid w:val="000D4FDE"/>
    <w:rsid w:val="000E31FE"/>
    <w:rsid w:val="000E3C49"/>
    <w:rsid w:val="000F3193"/>
    <w:rsid w:val="000F6FA1"/>
    <w:rsid w:val="00101348"/>
    <w:rsid w:val="00111485"/>
    <w:rsid w:val="00111BDC"/>
    <w:rsid w:val="00114B54"/>
    <w:rsid w:val="00114DED"/>
    <w:rsid w:val="0012016E"/>
    <w:rsid w:val="001217DB"/>
    <w:rsid w:val="00124C91"/>
    <w:rsid w:val="00127C4F"/>
    <w:rsid w:val="00133799"/>
    <w:rsid w:val="0013647E"/>
    <w:rsid w:val="001473E7"/>
    <w:rsid w:val="00151BD3"/>
    <w:rsid w:val="00152AB9"/>
    <w:rsid w:val="00153948"/>
    <w:rsid w:val="001565BA"/>
    <w:rsid w:val="001611C1"/>
    <w:rsid w:val="00162ADF"/>
    <w:rsid w:val="00163B1F"/>
    <w:rsid w:val="00165545"/>
    <w:rsid w:val="00175CF6"/>
    <w:rsid w:val="00180A4D"/>
    <w:rsid w:val="00187E89"/>
    <w:rsid w:val="00190447"/>
    <w:rsid w:val="00193C71"/>
    <w:rsid w:val="001A11A0"/>
    <w:rsid w:val="001A5C18"/>
    <w:rsid w:val="001A5F50"/>
    <w:rsid w:val="001A789F"/>
    <w:rsid w:val="001B40A8"/>
    <w:rsid w:val="001D08CD"/>
    <w:rsid w:val="001D5BFE"/>
    <w:rsid w:val="001E2467"/>
    <w:rsid w:val="001E357B"/>
    <w:rsid w:val="001E423A"/>
    <w:rsid w:val="001E455B"/>
    <w:rsid w:val="001E5759"/>
    <w:rsid w:val="001E67F9"/>
    <w:rsid w:val="001E6CA2"/>
    <w:rsid w:val="001F52E6"/>
    <w:rsid w:val="001F6BFC"/>
    <w:rsid w:val="001F78AE"/>
    <w:rsid w:val="0020002E"/>
    <w:rsid w:val="002035AE"/>
    <w:rsid w:val="00204D15"/>
    <w:rsid w:val="00210A22"/>
    <w:rsid w:val="00216A4F"/>
    <w:rsid w:val="002172F8"/>
    <w:rsid w:val="00217E26"/>
    <w:rsid w:val="00222740"/>
    <w:rsid w:val="00224BA3"/>
    <w:rsid w:val="00225F2B"/>
    <w:rsid w:val="0023050C"/>
    <w:rsid w:val="002317A0"/>
    <w:rsid w:val="002332B2"/>
    <w:rsid w:val="00237C5F"/>
    <w:rsid w:val="00242838"/>
    <w:rsid w:val="00243435"/>
    <w:rsid w:val="002449ED"/>
    <w:rsid w:val="00250840"/>
    <w:rsid w:val="00253492"/>
    <w:rsid w:val="002547FF"/>
    <w:rsid w:val="002576E9"/>
    <w:rsid w:val="00263E6F"/>
    <w:rsid w:val="00263F10"/>
    <w:rsid w:val="0026499A"/>
    <w:rsid w:val="00266187"/>
    <w:rsid w:val="002663E8"/>
    <w:rsid w:val="00266B9E"/>
    <w:rsid w:val="00266F9F"/>
    <w:rsid w:val="002710DB"/>
    <w:rsid w:val="00272400"/>
    <w:rsid w:val="002762EB"/>
    <w:rsid w:val="00276594"/>
    <w:rsid w:val="00281D42"/>
    <w:rsid w:val="00283613"/>
    <w:rsid w:val="002901EF"/>
    <w:rsid w:val="002909CB"/>
    <w:rsid w:val="002A1079"/>
    <w:rsid w:val="002B3123"/>
    <w:rsid w:val="002B5982"/>
    <w:rsid w:val="002C1A4B"/>
    <w:rsid w:val="002C213C"/>
    <w:rsid w:val="002D1851"/>
    <w:rsid w:val="002D2A7F"/>
    <w:rsid w:val="002D3E21"/>
    <w:rsid w:val="002E3A66"/>
    <w:rsid w:val="002E40AE"/>
    <w:rsid w:val="002E4DDC"/>
    <w:rsid w:val="002F52BB"/>
    <w:rsid w:val="002F57AF"/>
    <w:rsid w:val="00300DD3"/>
    <w:rsid w:val="00301A7C"/>
    <w:rsid w:val="00311EF0"/>
    <w:rsid w:val="0031357B"/>
    <w:rsid w:val="003136E5"/>
    <w:rsid w:val="00316FC8"/>
    <w:rsid w:val="00321958"/>
    <w:rsid w:val="00322262"/>
    <w:rsid w:val="00323C12"/>
    <w:rsid w:val="00331231"/>
    <w:rsid w:val="003403D0"/>
    <w:rsid w:val="003413F6"/>
    <w:rsid w:val="003427D3"/>
    <w:rsid w:val="00342F08"/>
    <w:rsid w:val="00345F7A"/>
    <w:rsid w:val="00346EB2"/>
    <w:rsid w:val="003542AA"/>
    <w:rsid w:val="00356218"/>
    <w:rsid w:val="00356457"/>
    <w:rsid w:val="00366479"/>
    <w:rsid w:val="00371199"/>
    <w:rsid w:val="00372AC7"/>
    <w:rsid w:val="00372F8A"/>
    <w:rsid w:val="0037421F"/>
    <w:rsid w:val="00383680"/>
    <w:rsid w:val="00383E74"/>
    <w:rsid w:val="0038725E"/>
    <w:rsid w:val="00393C79"/>
    <w:rsid w:val="00394109"/>
    <w:rsid w:val="00397561"/>
    <w:rsid w:val="003A04BB"/>
    <w:rsid w:val="003A5747"/>
    <w:rsid w:val="003A5C06"/>
    <w:rsid w:val="003B29A0"/>
    <w:rsid w:val="003B45C9"/>
    <w:rsid w:val="003B5112"/>
    <w:rsid w:val="003C0144"/>
    <w:rsid w:val="003C168D"/>
    <w:rsid w:val="003E19C2"/>
    <w:rsid w:val="003E337D"/>
    <w:rsid w:val="003E3F49"/>
    <w:rsid w:val="003E6CCF"/>
    <w:rsid w:val="003E7F78"/>
    <w:rsid w:val="0040582A"/>
    <w:rsid w:val="00405A2A"/>
    <w:rsid w:val="00406515"/>
    <w:rsid w:val="00414AE1"/>
    <w:rsid w:val="00424FD4"/>
    <w:rsid w:val="004261B8"/>
    <w:rsid w:val="00430940"/>
    <w:rsid w:val="00430BB8"/>
    <w:rsid w:val="00436786"/>
    <w:rsid w:val="0043725F"/>
    <w:rsid w:val="00451F43"/>
    <w:rsid w:val="00454429"/>
    <w:rsid w:val="00457972"/>
    <w:rsid w:val="00460CE1"/>
    <w:rsid w:val="00462A67"/>
    <w:rsid w:val="0046387C"/>
    <w:rsid w:val="00464494"/>
    <w:rsid w:val="0046751D"/>
    <w:rsid w:val="00467564"/>
    <w:rsid w:val="004724F8"/>
    <w:rsid w:val="00473EFD"/>
    <w:rsid w:val="00475567"/>
    <w:rsid w:val="00476924"/>
    <w:rsid w:val="00477A37"/>
    <w:rsid w:val="00480503"/>
    <w:rsid w:val="00486866"/>
    <w:rsid w:val="00486D45"/>
    <w:rsid w:val="004901AD"/>
    <w:rsid w:val="00490FBA"/>
    <w:rsid w:val="004A40B5"/>
    <w:rsid w:val="004A5103"/>
    <w:rsid w:val="004B1A8A"/>
    <w:rsid w:val="004B1EBD"/>
    <w:rsid w:val="004B7A0E"/>
    <w:rsid w:val="004C2594"/>
    <w:rsid w:val="004C2CA4"/>
    <w:rsid w:val="004C4F9F"/>
    <w:rsid w:val="004D33F4"/>
    <w:rsid w:val="004D63FB"/>
    <w:rsid w:val="004E3F0F"/>
    <w:rsid w:val="004E5E8C"/>
    <w:rsid w:val="004F0B9A"/>
    <w:rsid w:val="004F121C"/>
    <w:rsid w:val="004F509A"/>
    <w:rsid w:val="004F7238"/>
    <w:rsid w:val="0050236C"/>
    <w:rsid w:val="005054B5"/>
    <w:rsid w:val="00507267"/>
    <w:rsid w:val="00510A7B"/>
    <w:rsid w:val="00513C0C"/>
    <w:rsid w:val="005153AC"/>
    <w:rsid w:val="005154EE"/>
    <w:rsid w:val="00516C59"/>
    <w:rsid w:val="005171BE"/>
    <w:rsid w:val="00517DD2"/>
    <w:rsid w:val="0052190B"/>
    <w:rsid w:val="00524211"/>
    <w:rsid w:val="0052487E"/>
    <w:rsid w:val="005252DA"/>
    <w:rsid w:val="0052763E"/>
    <w:rsid w:val="005343C1"/>
    <w:rsid w:val="005360F2"/>
    <w:rsid w:val="005367B3"/>
    <w:rsid w:val="00536851"/>
    <w:rsid w:val="005417CC"/>
    <w:rsid w:val="00541A08"/>
    <w:rsid w:val="005453C1"/>
    <w:rsid w:val="00546244"/>
    <w:rsid w:val="00547675"/>
    <w:rsid w:val="00553B73"/>
    <w:rsid w:val="00556A4D"/>
    <w:rsid w:val="005577C4"/>
    <w:rsid w:val="005602A8"/>
    <w:rsid w:val="00566E69"/>
    <w:rsid w:val="00567C10"/>
    <w:rsid w:val="00572A66"/>
    <w:rsid w:val="00573844"/>
    <w:rsid w:val="005827E0"/>
    <w:rsid w:val="00582935"/>
    <w:rsid w:val="00585DAB"/>
    <w:rsid w:val="00590A91"/>
    <w:rsid w:val="005A5445"/>
    <w:rsid w:val="005A56CC"/>
    <w:rsid w:val="005A640E"/>
    <w:rsid w:val="005A670A"/>
    <w:rsid w:val="005A7063"/>
    <w:rsid w:val="005A746E"/>
    <w:rsid w:val="005B276D"/>
    <w:rsid w:val="005B2DC4"/>
    <w:rsid w:val="005D0130"/>
    <w:rsid w:val="005D3161"/>
    <w:rsid w:val="005E0CB9"/>
    <w:rsid w:val="005F21DA"/>
    <w:rsid w:val="005F3F4D"/>
    <w:rsid w:val="005F5A44"/>
    <w:rsid w:val="005F6D86"/>
    <w:rsid w:val="0060229F"/>
    <w:rsid w:val="00602F9D"/>
    <w:rsid w:val="0060690F"/>
    <w:rsid w:val="006069F3"/>
    <w:rsid w:val="00607F56"/>
    <w:rsid w:val="0061373D"/>
    <w:rsid w:val="00616345"/>
    <w:rsid w:val="006212A0"/>
    <w:rsid w:val="006307FC"/>
    <w:rsid w:val="00632778"/>
    <w:rsid w:val="00642F99"/>
    <w:rsid w:val="0064364E"/>
    <w:rsid w:val="00647C86"/>
    <w:rsid w:val="00647D5C"/>
    <w:rsid w:val="006503CD"/>
    <w:rsid w:val="00650B9C"/>
    <w:rsid w:val="006511BA"/>
    <w:rsid w:val="0065552C"/>
    <w:rsid w:val="0065570D"/>
    <w:rsid w:val="00660FCC"/>
    <w:rsid w:val="0066145F"/>
    <w:rsid w:val="00664E4E"/>
    <w:rsid w:val="006700A5"/>
    <w:rsid w:val="00670AD9"/>
    <w:rsid w:val="006714C3"/>
    <w:rsid w:val="006723E6"/>
    <w:rsid w:val="00677B64"/>
    <w:rsid w:val="00681C05"/>
    <w:rsid w:val="0068568E"/>
    <w:rsid w:val="00686B5D"/>
    <w:rsid w:val="0069419F"/>
    <w:rsid w:val="0069429E"/>
    <w:rsid w:val="006943AA"/>
    <w:rsid w:val="0069776E"/>
    <w:rsid w:val="006A2480"/>
    <w:rsid w:val="006A71A0"/>
    <w:rsid w:val="006B1767"/>
    <w:rsid w:val="006B18E1"/>
    <w:rsid w:val="006B21EA"/>
    <w:rsid w:val="006B5099"/>
    <w:rsid w:val="006D0130"/>
    <w:rsid w:val="006D021B"/>
    <w:rsid w:val="006D76B9"/>
    <w:rsid w:val="006E73EF"/>
    <w:rsid w:val="006F0471"/>
    <w:rsid w:val="00702609"/>
    <w:rsid w:val="00707467"/>
    <w:rsid w:val="00711414"/>
    <w:rsid w:val="00714532"/>
    <w:rsid w:val="007173EE"/>
    <w:rsid w:val="00722012"/>
    <w:rsid w:val="00724B4A"/>
    <w:rsid w:val="00726399"/>
    <w:rsid w:val="00726F01"/>
    <w:rsid w:val="00731EB0"/>
    <w:rsid w:val="007424E3"/>
    <w:rsid w:val="00742715"/>
    <w:rsid w:val="00744E6C"/>
    <w:rsid w:val="00747443"/>
    <w:rsid w:val="00752436"/>
    <w:rsid w:val="0075389E"/>
    <w:rsid w:val="00753F55"/>
    <w:rsid w:val="007549BE"/>
    <w:rsid w:val="0076207F"/>
    <w:rsid w:val="00762EE9"/>
    <w:rsid w:val="00765CB0"/>
    <w:rsid w:val="00766181"/>
    <w:rsid w:val="00767A48"/>
    <w:rsid w:val="00772176"/>
    <w:rsid w:val="007734E3"/>
    <w:rsid w:val="00780821"/>
    <w:rsid w:val="0078680B"/>
    <w:rsid w:val="0079084C"/>
    <w:rsid w:val="007A2172"/>
    <w:rsid w:val="007A335B"/>
    <w:rsid w:val="007A49AE"/>
    <w:rsid w:val="007A5717"/>
    <w:rsid w:val="007A74FC"/>
    <w:rsid w:val="007B4FD5"/>
    <w:rsid w:val="007B5B93"/>
    <w:rsid w:val="007C26AF"/>
    <w:rsid w:val="007D52E8"/>
    <w:rsid w:val="007D6A72"/>
    <w:rsid w:val="007E2A52"/>
    <w:rsid w:val="007E372B"/>
    <w:rsid w:val="007E536C"/>
    <w:rsid w:val="007E5CD8"/>
    <w:rsid w:val="007F160D"/>
    <w:rsid w:val="007F2070"/>
    <w:rsid w:val="007F3FFF"/>
    <w:rsid w:val="00804D0C"/>
    <w:rsid w:val="00810FD4"/>
    <w:rsid w:val="008143AD"/>
    <w:rsid w:val="00816BBA"/>
    <w:rsid w:val="00825D1D"/>
    <w:rsid w:val="00834671"/>
    <w:rsid w:val="00841289"/>
    <w:rsid w:val="00843534"/>
    <w:rsid w:val="00847359"/>
    <w:rsid w:val="00847ED8"/>
    <w:rsid w:val="008503F5"/>
    <w:rsid w:val="00851E81"/>
    <w:rsid w:val="00863E33"/>
    <w:rsid w:val="00867E97"/>
    <w:rsid w:val="008747D7"/>
    <w:rsid w:val="008858A3"/>
    <w:rsid w:val="00887070"/>
    <w:rsid w:val="008870A9"/>
    <w:rsid w:val="0089254E"/>
    <w:rsid w:val="00894559"/>
    <w:rsid w:val="0089505C"/>
    <w:rsid w:val="00895958"/>
    <w:rsid w:val="008A157A"/>
    <w:rsid w:val="008A175F"/>
    <w:rsid w:val="008A7B63"/>
    <w:rsid w:val="008A7C73"/>
    <w:rsid w:val="008B0E7D"/>
    <w:rsid w:val="008B45CD"/>
    <w:rsid w:val="008B6185"/>
    <w:rsid w:val="008B67A7"/>
    <w:rsid w:val="008C50CE"/>
    <w:rsid w:val="008C65DC"/>
    <w:rsid w:val="008C6CE7"/>
    <w:rsid w:val="008D00AA"/>
    <w:rsid w:val="008D00B0"/>
    <w:rsid w:val="008D1BD8"/>
    <w:rsid w:val="008D42A2"/>
    <w:rsid w:val="008D7DD0"/>
    <w:rsid w:val="008F18B9"/>
    <w:rsid w:val="008F4B0B"/>
    <w:rsid w:val="008F76A2"/>
    <w:rsid w:val="0090200E"/>
    <w:rsid w:val="009073AC"/>
    <w:rsid w:val="00910242"/>
    <w:rsid w:val="00913CA5"/>
    <w:rsid w:val="009150FD"/>
    <w:rsid w:val="00917D97"/>
    <w:rsid w:val="009217CA"/>
    <w:rsid w:val="00921B3D"/>
    <w:rsid w:val="0092479B"/>
    <w:rsid w:val="00932140"/>
    <w:rsid w:val="009329C1"/>
    <w:rsid w:val="0093619F"/>
    <w:rsid w:val="00936DEE"/>
    <w:rsid w:val="009377A5"/>
    <w:rsid w:val="00937B1F"/>
    <w:rsid w:val="00944B66"/>
    <w:rsid w:val="00947466"/>
    <w:rsid w:val="00947DAB"/>
    <w:rsid w:val="0095066B"/>
    <w:rsid w:val="00952B4A"/>
    <w:rsid w:val="00952D35"/>
    <w:rsid w:val="00956704"/>
    <w:rsid w:val="009658B5"/>
    <w:rsid w:val="00967429"/>
    <w:rsid w:val="009754FD"/>
    <w:rsid w:val="00981F3A"/>
    <w:rsid w:val="0099388E"/>
    <w:rsid w:val="00994D37"/>
    <w:rsid w:val="009962EF"/>
    <w:rsid w:val="00996878"/>
    <w:rsid w:val="009A2A30"/>
    <w:rsid w:val="009A3380"/>
    <w:rsid w:val="009A5385"/>
    <w:rsid w:val="009B2E23"/>
    <w:rsid w:val="009C31A7"/>
    <w:rsid w:val="009C35A4"/>
    <w:rsid w:val="009D176A"/>
    <w:rsid w:val="009D4F4B"/>
    <w:rsid w:val="009D7BE6"/>
    <w:rsid w:val="009E09FE"/>
    <w:rsid w:val="009E2630"/>
    <w:rsid w:val="009E7682"/>
    <w:rsid w:val="009F00DB"/>
    <w:rsid w:val="009F0502"/>
    <w:rsid w:val="009F05A4"/>
    <w:rsid w:val="009F0E0E"/>
    <w:rsid w:val="00A03C72"/>
    <w:rsid w:val="00A05A48"/>
    <w:rsid w:val="00A06B22"/>
    <w:rsid w:val="00A071B1"/>
    <w:rsid w:val="00A07FE5"/>
    <w:rsid w:val="00A15445"/>
    <w:rsid w:val="00A30959"/>
    <w:rsid w:val="00A31CDA"/>
    <w:rsid w:val="00A369D6"/>
    <w:rsid w:val="00A40715"/>
    <w:rsid w:val="00A40CE2"/>
    <w:rsid w:val="00A421D7"/>
    <w:rsid w:val="00A43F37"/>
    <w:rsid w:val="00A441C7"/>
    <w:rsid w:val="00A45B41"/>
    <w:rsid w:val="00A50384"/>
    <w:rsid w:val="00A52E6A"/>
    <w:rsid w:val="00A5556B"/>
    <w:rsid w:val="00A66855"/>
    <w:rsid w:val="00A803A6"/>
    <w:rsid w:val="00A82061"/>
    <w:rsid w:val="00A82564"/>
    <w:rsid w:val="00A832C9"/>
    <w:rsid w:val="00A8342A"/>
    <w:rsid w:val="00A906BB"/>
    <w:rsid w:val="00A929D8"/>
    <w:rsid w:val="00A951FA"/>
    <w:rsid w:val="00A96FE3"/>
    <w:rsid w:val="00AB1801"/>
    <w:rsid w:val="00AB6CDF"/>
    <w:rsid w:val="00AC4585"/>
    <w:rsid w:val="00AC70A6"/>
    <w:rsid w:val="00AD1512"/>
    <w:rsid w:val="00AD7812"/>
    <w:rsid w:val="00AE128E"/>
    <w:rsid w:val="00AE267E"/>
    <w:rsid w:val="00AE6EB0"/>
    <w:rsid w:val="00AF0C43"/>
    <w:rsid w:val="00AF3520"/>
    <w:rsid w:val="00AF4286"/>
    <w:rsid w:val="00AF6339"/>
    <w:rsid w:val="00AF7F8E"/>
    <w:rsid w:val="00B01A77"/>
    <w:rsid w:val="00B03EAB"/>
    <w:rsid w:val="00B06D6B"/>
    <w:rsid w:val="00B06ED3"/>
    <w:rsid w:val="00B167F9"/>
    <w:rsid w:val="00B177EE"/>
    <w:rsid w:val="00B21CBD"/>
    <w:rsid w:val="00B352C1"/>
    <w:rsid w:val="00B4036A"/>
    <w:rsid w:val="00B42C3D"/>
    <w:rsid w:val="00B47796"/>
    <w:rsid w:val="00B50393"/>
    <w:rsid w:val="00B52B7B"/>
    <w:rsid w:val="00B53049"/>
    <w:rsid w:val="00B5312F"/>
    <w:rsid w:val="00B623F2"/>
    <w:rsid w:val="00B62ECB"/>
    <w:rsid w:val="00B66ECC"/>
    <w:rsid w:val="00B67020"/>
    <w:rsid w:val="00B671CF"/>
    <w:rsid w:val="00B71080"/>
    <w:rsid w:val="00B71CEE"/>
    <w:rsid w:val="00B72DD0"/>
    <w:rsid w:val="00B74C31"/>
    <w:rsid w:val="00B7585E"/>
    <w:rsid w:val="00B76496"/>
    <w:rsid w:val="00B76E6C"/>
    <w:rsid w:val="00B802FD"/>
    <w:rsid w:val="00B80B24"/>
    <w:rsid w:val="00B82F2B"/>
    <w:rsid w:val="00B83A17"/>
    <w:rsid w:val="00B86FDE"/>
    <w:rsid w:val="00B92E7C"/>
    <w:rsid w:val="00B97B9A"/>
    <w:rsid w:val="00B97FC9"/>
    <w:rsid w:val="00BA0084"/>
    <w:rsid w:val="00BA0DCB"/>
    <w:rsid w:val="00BA558B"/>
    <w:rsid w:val="00BA74BE"/>
    <w:rsid w:val="00BB3ECD"/>
    <w:rsid w:val="00BC106E"/>
    <w:rsid w:val="00BC59BA"/>
    <w:rsid w:val="00BC6267"/>
    <w:rsid w:val="00BC7276"/>
    <w:rsid w:val="00BD156E"/>
    <w:rsid w:val="00BD2694"/>
    <w:rsid w:val="00BD4D70"/>
    <w:rsid w:val="00BE0601"/>
    <w:rsid w:val="00BE0B8F"/>
    <w:rsid w:val="00BE5DBD"/>
    <w:rsid w:val="00BE626D"/>
    <w:rsid w:val="00BE78F5"/>
    <w:rsid w:val="00BF3629"/>
    <w:rsid w:val="00BF4530"/>
    <w:rsid w:val="00BF5BC5"/>
    <w:rsid w:val="00BF5F5C"/>
    <w:rsid w:val="00BF6444"/>
    <w:rsid w:val="00C0078A"/>
    <w:rsid w:val="00C00F5A"/>
    <w:rsid w:val="00C03567"/>
    <w:rsid w:val="00C05B98"/>
    <w:rsid w:val="00C06655"/>
    <w:rsid w:val="00C1074F"/>
    <w:rsid w:val="00C11FE7"/>
    <w:rsid w:val="00C205DE"/>
    <w:rsid w:val="00C21D4E"/>
    <w:rsid w:val="00C231CF"/>
    <w:rsid w:val="00C233C3"/>
    <w:rsid w:val="00C26226"/>
    <w:rsid w:val="00C30310"/>
    <w:rsid w:val="00C31975"/>
    <w:rsid w:val="00C37429"/>
    <w:rsid w:val="00C408D3"/>
    <w:rsid w:val="00C40CB4"/>
    <w:rsid w:val="00C4264D"/>
    <w:rsid w:val="00C51D34"/>
    <w:rsid w:val="00C52D0B"/>
    <w:rsid w:val="00C5584E"/>
    <w:rsid w:val="00C55A3C"/>
    <w:rsid w:val="00C60060"/>
    <w:rsid w:val="00C60AF9"/>
    <w:rsid w:val="00C637F2"/>
    <w:rsid w:val="00C647C5"/>
    <w:rsid w:val="00C65463"/>
    <w:rsid w:val="00C65762"/>
    <w:rsid w:val="00C65D95"/>
    <w:rsid w:val="00C704A1"/>
    <w:rsid w:val="00C758D8"/>
    <w:rsid w:val="00C7649D"/>
    <w:rsid w:val="00C76E93"/>
    <w:rsid w:val="00C82B11"/>
    <w:rsid w:val="00CA4583"/>
    <w:rsid w:val="00CA59C2"/>
    <w:rsid w:val="00CA709C"/>
    <w:rsid w:val="00CB4654"/>
    <w:rsid w:val="00CB4DD1"/>
    <w:rsid w:val="00CB4E90"/>
    <w:rsid w:val="00CB5A5D"/>
    <w:rsid w:val="00CB71FE"/>
    <w:rsid w:val="00CB7FF8"/>
    <w:rsid w:val="00CC3D8D"/>
    <w:rsid w:val="00CC3FDD"/>
    <w:rsid w:val="00CC517C"/>
    <w:rsid w:val="00CD03C4"/>
    <w:rsid w:val="00CD18A8"/>
    <w:rsid w:val="00CD24AA"/>
    <w:rsid w:val="00CD2A46"/>
    <w:rsid w:val="00CD459F"/>
    <w:rsid w:val="00CE19B4"/>
    <w:rsid w:val="00CE5F1D"/>
    <w:rsid w:val="00CE70D9"/>
    <w:rsid w:val="00CF0468"/>
    <w:rsid w:val="00CF5A74"/>
    <w:rsid w:val="00D0055C"/>
    <w:rsid w:val="00D05F6E"/>
    <w:rsid w:val="00D13372"/>
    <w:rsid w:val="00D15A7C"/>
    <w:rsid w:val="00D1664B"/>
    <w:rsid w:val="00D20B75"/>
    <w:rsid w:val="00D22444"/>
    <w:rsid w:val="00D2308C"/>
    <w:rsid w:val="00D24F04"/>
    <w:rsid w:val="00D2776E"/>
    <w:rsid w:val="00D27C91"/>
    <w:rsid w:val="00D3098C"/>
    <w:rsid w:val="00D34969"/>
    <w:rsid w:val="00D36AC9"/>
    <w:rsid w:val="00D3783B"/>
    <w:rsid w:val="00D37A31"/>
    <w:rsid w:val="00D403DB"/>
    <w:rsid w:val="00D47972"/>
    <w:rsid w:val="00D51584"/>
    <w:rsid w:val="00D51E3F"/>
    <w:rsid w:val="00D52B02"/>
    <w:rsid w:val="00D5522C"/>
    <w:rsid w:val="00D55570"/>
    <w:rsid w:val="00D569AD"/>
    <w:rsid w:val="00D634D0"/>
    <w:rsid w:val="00D728F9"/>
    <w:rsid w:val="00D73520"/>
    <w:rsid w:val="00D83B0C"/>
    <w:rsid w:val="00D84A22"/>
    <w:rsid w:val="00D873FB"/>
    <w:rsid w:val="00D905BC"/>
    <w:rsid w:val="00D9180C"/>
    <w:rsid w:val="00D95D3A"/>
    <w:rsid w:val="00D95E9E"/>
    <w:rsid w:val="00D969EC"/>
    <w:rsid w:val="00DA26C9"/>
    <w:rsid w:val="00DA640C"/>
    <w:rsid w:val="00DB2B8E"/>
    <w:rsid w:val="00DB511E"/>
    <w:rsid w:val="00DB5FA6"/>
    <w:rsid w:val="00DB775A"/>
    <w:rsid w:val="00DC1F3E"/>
    <w:rsid w:val="00DC6456"/>
    <w:rsid w:val="00DD14C9"/>
    <w:rsid w:val="00DD5EBA"/>
    <w:rsid w:val="00DE11AE"/>
    <w:rsid w:val="00DE225F"/>
    <w:rsid w:val="00DF028A"/>
    <w:rsid w:val="00DF3BD3"/>
    <w:rsid w:val="00DF6E0A"/>
    <w:rsid w:val="00E0308A"/>
    <w:rsid w:val="00E03ED2"/>
    <w:rsid w:val="00E061D5"/>
    <w:rsid w:val="00E078FB"/>
    <w:rsid w:val="00E14ED5"/>
    <w:rsid w:val="00E21DB5"/>
    <w:rsid w:val="00E23716"/>
    <w:rsid w:val="00E2677F"/>
    <w:rsid w:val="00E34930"/>
    <w:rsid w:val="00E437A2"/>
    <w:rsid w:val="00E50C61"/>
    <w:rsid w:val="00E52E3F"/>
    <w:rsid w:val="00E5309D"/>
    <w:rsid w:val="00E619F3"/>
    <w:rsid w:val="00E62069"/>
    <w:rsid w:val="00E64DE2"/>
    <w:rsid w:val="00E65CA3"/>
    <w:rsid w:val="00E675A5"/>
    <w:rsid w:val="00E675FF"/>
    <w:rsid w:val="00E76F03"/>
    <w:rsid w:val="00E818BE"/>
    <w:rsid w:val="00E83E11"/>
    <w:rsid w:val="00E845A2"/>
    <w:rsid w:val="00E84B93"/>
    <w:rsid w:val="00E953FF"/>
    <w:rsid w:val="00E963F4"/>
    <w:rsid w:val="00EA580B"/>
    <w:rsid w:val="00EA73C4"/>
    <w:rsid w:val="00EB1976"/>
    <w:rsid w:val="00EB315C"/>
    <w:rsid w:val="00EB41D4"/>
    <w:rsid w:val="00EB44C0"/>
    <w:rsid w:val="00EB5262"/>
    <w:rsid w:val="00EB7756"/>
    <w:rsid w:val="00EC1154"/>
    <w:rsid w:val="00EC37E3"/>
    <w:rsid w:val="00EC7681"/>
    <w:rsid w:val="00EC7A80"/>
    <w:rsid w:val="00EC7C7B"/>
    <w:rsid w:val="00EC7EB6"/>
    <w:rsid w:val="00ED0D41"/>
    <w:rsid w:val="00ED2C75"/>
    <w:rsid w:val="00EE0499"/>
    <w:rsid w:val="00EE06F9"/>
    <w:rsid w:val="00EE10F1"/>
    <w:rsid w:val="00EE1C38"/>
    <w:rsid w:val="00EE5C4F"/>
    <w:rsid w:val="00EF2567"/>
    <w:rsid w:val="00EF2E56"/>
    <w:rsid w:val="00EF779C"/>
    <w:rsid w:val="00F07336"/>
    <w:rsid w:val="00F10F84"/>
    <w:rsid w:val="00F110C8"/>
    <w:rsid w:val="00F16968"/>
    <w:rsid w:val="00F17FCF"/>
    <w:rsid w:val="00F219A9"/>
    <w:rsid w:val="00F255EF"/>
    <w:rsid w:val="00F330DB"/>
    <w:rsid w:val="00F3622D"/>
    <w:rsid w:val="00F37240"/>
    <w:rsid w:val="00F45B4C"/>
    <w:rsid w:val="00F51878"/>
    <w:rsid w:val="00F52E63"/>
    <w:rsid w:val="00F62157"/>
    <w:rsid w:val="00F6676B"/>
    <w:rsid w:val="00F70511"/>
    <w:rsid w:val="00F775BA"/>
    <w:rsid w:val="00F803A8"/>
    <w:rsid w:val="00F84863"/>
    <w:rsid w:val="00F84EAF"/>
    <w:rsid w:val="00F85DB7"/>
    <w:rsid w:val="00F87995"/>
    <w:rsid w:val="00F904E4"/>
    <w:rsid w:val="00F92A13"/>
    <w:rsid w:val="00FA0D96"/>
    <w:rsid w:val="00FA11B4"/>
    <w:rsid w:val="00FB40F4"/>
    <w:rsid w:val="00FC0BB0"/>
    <w:rsid w:val="00FC14A9"/>
    <w:rsid w:val="00FC405B"/>
    <w:rsid w:val="00FC73AC"/>
    <w:rsid w:val="00FC77F6"/>
    <w:rsid w:val="00FD46E7"/>
    <w:rsid w:val="00FD7999"/>
    <w:rsid w:val="00FE0874"/>
    <w:rsid w:val="00FE0C49"/>
    <w:rsid w:val="00FE2C1C"/>
    <w:rsid w:val="00FE2F2C"/>
    <w:rsid w:val="00FE40ED"/>
    <w:rsid w:val="00FE7EC7"/>
    <w:rsid w:val="00FE7EED"/>
    <w:rsid w:val="00FF244A"/>
    <w:rsid w:val="00FF3053"/>
    <w:rsid w:val="00FF7F59"/>
    <w:rsid w:val="14E533F3"/>
    <w:rsid w:val="5FDFE146"/>
    <w:rsid w:val="BCBF8E69"/>
    <w:rsid w:val="DBFF813B"/>
    <w:rsid w:val="FF6FF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9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20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26"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link w:val="28"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toc 3"/>
    <w:basedOn w:val="1"/>
    <w:next w:val="1"/>
    <w:unhideWhenUsed/>
    <w:qFormat/>
    <w:uiPriority w:val="39"/>
    <w:pPr>
      <w:ind w:left="840" w:leftChars="400"/>
    </w:pPr>
  </w:style>
  <w:style w:type="paragraph" w:styleId="8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9">
    <w:name w:val="Balloon Text"/>
    <w:basedOn w:val="1"/>
    <w:link w:val="27"/>
    <w:semiHidden/>
    <w:unhideWhenUsed/>
    <w:qFormat/>
    <w:uiPriority w:val="99"/>
    <w:rPr>
      <w:sz w:val="18"/>
      <w:szCs w:val="18"/>
    </w:rPr>
  </w:style>
  <w:style w:type="paragraph" w:styleId="10">
    <w:name w:val="footer"/>
    <w:basedOn w:val="1"/>
    <w:link w:val="2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toc 2"/>
    <w:basedOn w:val="1"/>
    <w:next w:val="1"/>
    <w:unhideWhenUsed/>
    <w:qFormat/>
    <w:uiPriority w:val="39"/>
    <w:pPr>
      <w:tabs>
        <w:tab w:val="right" w:leader="dot" w:pos="8296"/>
      </w:tabs>
      <w:spacing w:line="360" w:lineRule="auto"/>
      <w:ind w:left="420" w:leftChars="200"/>
    </w:pPr>
  </w:style>
  <w:style w:type="paragraph" w:styleId="1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15">
    <w:name w:val="Table Grid"/>
    <w:basedOn w:val="1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7">
    <w:name w:val="Hyperlink"/>
    <w:basedOn w:val="16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8">
    <w:name w:val="日期 字符"/>
    <w:basedOn w:val="16"/>
    <w:link w:val="8"/>
    <w:semiHidden/>
    <w:qFormat/>
    <w:uiPriority w:val="99"/>
  </w:style>
  <w:style w:type="character" w:customStyle="1" w:styleId="19">
    <w:name w:val="标题 2 字符"/>
    <w:basedOn w:val="16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20">
    <w:name w:val="标题 3 字符"/>
    <w:basedOn w:val="16"/>
    <w:link w:val="4"/>
    <w:qFormat/>
    <w:uiPriority w:val="9"/>
    <w:rPr>
      <w:b/>
      <w:bCs/>
      <w:sz w:val="32"/>
      <w:szCs w:val="32"/>
    </w:rPr>
  </w:style>
  <w:style w:type="character" w:customStyle="1" w:styleId="21">
    <w:name w:val="页眉 字符"/>
    <w:basedOn w:val="16"/>
    <w:link w:val="11"/>
    <w:qFormat/>
    <w:uiPriority w:val="99"/>
    <w:rPr>
      <w:sz w:val="18"/>
      <w:szCs w:val="18"/>
    </w:rPr>
  </w:style>
  <w:style w:type="character" w:customStyle="1" w:styleId="22">
    <w:name w:val="页脚 字符"/>
    <w:basedOn w:val="16"/>
    <w:link w:val="10"/>
    <w:qFormat/>
    <w:uiPriority w:val="99"/>
    <w:rPr>
      <w:sz w:val="18"/>
      <w:szCs w:val="18"/>
    </w:rPr>
  </w:style>
  <w:style w:type="character" w:customStyle="1" w:styleId="23">
    <w:name w:val="标题 1 字符"/>
    <w:basedOn w:val="16"/>
    <w:link w:val="2"/>
    <w:qFormat/>
    <w:uiPriority w:val="9"/>
    <w:rPr>
      <w:b/>
      <w:bCs/>
      <w:kern w:val="44"/>
      <w:sz w:val="44"/>
      <w:szCs w:val="44"/>
    </w:rPr>
  </w:style>
  <w:style w:type="paragraph" w:customStyle="1" w:styleId="24">
    <w:name w:val="TOC Heading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E75B6" w:themeColor="accent1" w:themeShade="BF"/>
      <w:kern w:val="0"/>
      <w:sz w:val="32"/>
      <w:szCs w:val="32"/>
    </w:rPr>
  </w:style>
  <w:style w:type="paragraph" w:styleId="25">
    <w:name w:val="List Paragraph"/>
    <w:basedOn w:val="1"/>
    <w:qFormat/>
    <w:uiPriority w:val="34"/>
    <w:pPr>
      <w:ind w:firstLine="420" w:firstLineChars="200"/>
    </w:pPr>
  </w:style>
  <w:style w:type="character" w:customStyle="1" w:styleId="26">
    <w:name w:val="标题 4 字符"/>
    <w:basedOn w:val="16"/>
    <w:link w:val="5"/>
    <w:qFormat/>
    <w:uiPriority w:val="9"/>
    <w:rPr>
      <w:rFonts w:asciiTheme="majorHAnsi" w:hAnsiTheme="majorHAnsi" w:eastAsiaTheme="majorEastAsia" w:cstheme="majorBidi"/>
      <w:b/>
      <w:bCs/>
      <w:sz w:val="28"/>
      <w:szCs w:val="28"/>
    </w:rPr>
  </w:style>
  <w:style w:type="character" w:customStyle="1" w:styleId="27">
    <w:name w:val="批注框文本 字符"/>
    <w:basedOn w:val="16"/>
    <w:link w:val="9"/>
    <w:semiHidden/>
    <w:qFormat/>
    <w:uiPriority w:val="99"/>
    <w:rPr>
      <w:sz w:val="18"/>
      <w:szCs w:val="18"/>
    </w:rPr>
  </w:style>
  <w:style w:type="character" w:customStyle="1" w:styleId="28">
    <w:name w:val="标题 5 字符"/>
    <w:basedOn w:val="16"/>
    <w:link w:val="6"/>
    <w:qFormat/>
    <w:uiPriority w:val="9"/>
    <w:rPr>
      <w:b/>
      <w:bCs/>
      <w:sz w:val="28"/>
      <w:szCs w:val="28"/>
    </w:rPr>
  </w:style>
  <w:style w:type="table" w:customStyle="1" w:styleId="29">
    <w:name w:val="网格型1"/>
    <w:basedOn w:val="14"/>
    <w:qFormat/>
    <w:uiPriority w:val="3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225</Words>
  <Characters>1284</Characters>
  <Lines>10</Lines>
  <Paragraphs>3</Paragraphs>
  <TotalTime>15</TotalTime>
  <ScaleCrop>false</ScaleCrop>
  <LinksUpToDate>false</LinksUpToDate>
  <CharactersWithSpaces>1506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2022-11-08T08:39:00Z</dcterms:created>
  <dc:creator>lhc</dc:creator>
  <cp:lastModifiedBy>ITcenter</cp:lastModifiedBy>
  <cp:lastPrinted>2022-03-31T05:02:00Z</cp:lastPrinted>
  <dcterms:modified xsi:type="dcterms:W3CDTF">2025-04-29T00:48:42Z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C87F5FAB5D3B7E150DA900689211F430</vt:lpwstr>
  </property>
</Properties>
</file>