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仿宋" w:hAnsi="仿宋" w:eastAsia="仿宋" w:cs="仿宋"/>
          <w:sz w:val="32"/>
          <w:szCs w:val="32"/>
          <w:lang w:val="en-US" w:eastAsia="zh-CN"/>
        </w:rPr>
      </w:pPr>
      <w:bookmarkStart w:id="0" w:name="_GoBack"/>
      <w:bookmarkEnd w:id="0"/>
      <w:r>
        <w:rPr>
          <w:rFonts w:hint="eastAsia" w:ascii="仿宋" w:hAnsi="仿宋" w:eastAsia="仿宋" w:cs="仿宋"/>
          <w:sz w:val="32"/>
          <w:szCs w:val="32"/>
          <w:lang w:val="en-US" w:eastAsia="zh-CN"/>
        </w:rPr>
        <w:t>附件：</w:t>
      </w:r>
    </w:p>
    <w:p>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黑体" w:hAnsi="黑体" w:eastAsia="黑体" w:cs="黑体"/>
          <w:sz w:val="32"/>
          <w:szCs w:val="32"/>
          <w:lang w:val="en-US" w:eastAsia="zh-CN"/>
        </w:rPr>
      </w:pPr>
      <w:r>
        <w:rPr>
          <w:rFonts w:hint="eastAsia" w:ascii="黑体" w:hAnsi="黑体" w:eastAsia="黑体" w:cs="黑体"/>
          <w:b w:val="0"/>
          <w:bCs w:val="0"/>
          <w:i w:val="0"/>
          <w:iCs w:val="0"/>
          <w:caps w:val="0"/>
          <w:color w:val="333333"/>
          <w:spacing w:val="0"/>
          <w:sz w:val="32"/>
          <w:szCs w:val="32"/>
          <w:shd w:val="clear" w:fill="FFFFFF"/>
        </w:rPr>
        <w:t>2021年度省</w:t>
      </w:r>
      <w:r>
        <w:rPr>
          <w:rFonts w:hint="eastAsia" w:ascii="黑体" w:hAnsi="黑体" w:eastAsia="黑体" w:cs="黑体"/>
          <w:b w:val="0"/>
          <w:bCs w:val="0"/>
          <w:i w:val="0"/>
          <w:iCs w:val="0"/>
          <w:caps w:val="0"/>
          <w:color w:val="333333"/>
          <w:spacing w:val="0"/>
          <w:sz w:val="32"/>
          <w:szCs w:val="32"/>
          <w:shd w:val="clear" w:fill="FFFFFF"/>
          <w:lang w:val="en-US" w:eastAsia="zh-CN"/>
        </w:rPr>
        <w:t>级</w:t>
      </w:r>
      <w:r>
        <w:rPr>
          <w:rFonts w:hint="eastAsia" w:ascii="黑体" w:hAnsi="黑体" w:eastAsia="黑体" w:cs="黑体"/>
          <w:b w:val="0"/>
          <w:bCs w:val="0"/>
          <w:i w:val="0"/>
          <w:iCs w:val="0"/>
          <w:caps w:val="0"/>
          <w:color w:val="333333"/>
          <w:spacing w:val="0"/>
          <w:sz w:val="32"/>
          <w:szCs w:val="32"/>
          <w:shd w:val="clear" w:fill="FFFFFF"/>
        </w:rPr>
        <w:t>政务公开测评问题</w:t>
      </w:r>
      <w:r>
        <w:rPr>
          <w:rFonts w:hint="eastAsia" w:ascii="黑体" w:hAnsi="黑体" w:eastAsia="黑体" w:cs="黑体"/>
          <w:b w:val="0"/>
          <w:bCs w:val="0"/>
          <w:i w:val="0"/>
          <w:iCs w:val="0"/>
          <w:caps w:val="0"/>
          <w:color w:val="333333"/>
          <w:spacing w:val="0"/>
          <w:sz w:val="32"/>
          <w:szCs w:val="32"/>
          <w:shd w:val="clear" w:fill="FFFFFF"/>
          <w:lang w:eastAsia="zh-CN"/>
        </w:rPr>
        <w:t>整改清单</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lang w:val="en-US" w:eastAsia="zh-CN"/>
        </w:rPr>
      </w:pPr>
    </w:p>
    <w:tbl>
      <w:tblPr>
        <w:tblStyle w:val="6"/>
        <w:tblW w:w="85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4"/>
        <w:gridCol w:w="1704"/>
        <w:gridCol w:w="1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bCs/>
                <w:i w:val="0"/>
                <w:iCs w:val="0"/>
                <w:caps w:val="0"/>
                <w:color w:val="333333"/>
                <w:spacing w:val="0"/>
                <w:sz w:val="24"/>
                <w:szCs w:val="24"/>
                <w:shd w:val="clear" w:fill="FFFFFF"/>
                <w:vertAlign w:val="baseline"/>
                <w:lang w:val="en-US" w:eastAsia="zh-CN"/>
              </w:rPr>
            </w:pPr>
            <w:r>
              <w:rPr>
                <w:rFonts w:hint="eastAsia" w:cs="宋体"/>
                <w:b/>
                <w:bCs/>
                <w:i w:val="0"/>
                <w:iCs w:val="0"/>
                <w:caps w:val="0"/>
                <w:color w:val="333333"/>
                <w:spacing w:val="0"/>
                <w:sz w:val="24"/>
                <w:szCs w:val="24"/>
                <w:shd w:val="clear" w:fill="FFFFFF"/>
                <w:vertAlign w:val="baseline"/>
                <w:lang w:val="en-US" w:eastAsia="zh-CN"/>
              </w:rPr>
              <w:t>序号</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bCs/>
                <w:i w:val="0"/>
                <w:iCs w:val="0"/>
                <w:caps w:val="0"/>
                <w:color w:val="333333"/>
                <w:spacing w:val="0"/>
                <w:sz w:val="24"/>
                <w:szCs w:val="24"/>
                <w:shd w:val="clear" w:fill="FFFFFF"/>
                <w:vertAlign w:val="baseline"/>
                <w:lang w:val="en-US" w:eastAsia="zh-CN"/>
              </w:rPr>
            </w:pPr>
            <w:r>
              <w:rPr>
                <w:rFonts w:hint="eastAsia" w:cs="宋体"/>
                <w:b/>
                <w:bCs/>
                <w:i w:val="0"/>
                <w:iCs w:val="0"/>
                <w:caps w:val="0"/>
                <w:color w:val="333333"/>
                <w:spacing w:val="0"/>
                <w:sz w:val="24"/>
                <w:szCs w:val="24"/>
                <w:shd w:val="clear" w:fill="FFFFFF"/>
                <w:vertAlign w:val="baseline"/>
                <w:lang w:val="en-US" w:eastAsia="zh-CN"/>
              </w:rPr>
              <w:t>问题反馈</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bCs/>
                <w:i w:val="0"/>
                <w:iCs w:val="0"/>
                <w:caps w:val="0"/>
                <w:color w:val="333333"/>
                <w:spacing w:val="0"/>
                <w:sz w:val="24"/>
                <w:szCs w:val="24"/>
                <w:shd w:val="clear" w:fill="FFFFFF"/>
                <w:vertAlign w:val="baseline"/>
                <w:lang w:val="en-US" w:eastAsia="zh-CN"/>
              </w:rPr>
            </w:pPr>
            <w:r>
              <w:rPr>
                <w:rFonts w:hint="eastAsia" w:cs="宋体"/>
                <w:b/>
                <w:bCs/>
                <w:i w:val="0"/>
                <w:iCs w:val="0"/>
                <w:caps w:val="0"/>
                <w:color w:val="333333"/>
                <w:spacing w:val="0"/>
                <w:sz w:val="24"/>
                <w:szCs w:val="24"/>
                <w:shd w:val="clear" w:fill="FFFFFF"/>
                <w:vertAlign w:val="baseline"/>
                <w:lang w:val="en-US" w:eastAsia="zh-CN"/>
              </w:rPr>
              <w:t>责任单位</w:t>
            </w:r>
          </w:p>
        </w:tc>
        <w:tc>
          <w:tcPr>
            <w:tcW w:w="1704"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bCs/>
                <w:i w:val="0"/>
                <w:iCs w:val="0"/>
                <w:caps w:val="0"/>
                <w:color w:val="333333"/>
                <w:spacing w:val="0"/>
                <w:sz w:val="24"/>
                <w:szCs w:val="24"/>
                <w:shd w:val="clear" w:fill="FFFFFF"/>
                <w:vertAlign w:val="baseline"/>
                <w:lang w:val="en-US" w:eastAsia="zh-CN"/>
              </w:rPr>
            </w:pPr>
            <w:r>
              <w:rPr>
                <w:rFonts w:hint="eastAsia" w:cs="宋体"/>
                <w:b/>
                <w:bCs/>
                <w:i w:val="0"/>
                <w:iCs w:val="0"/>
                <w:caps w:val="0"/>
                <w:color w:val="333333"/>
                <w:spacing w:val="0"/>
                <w:sz w:val="24"/>
                <w:szCs w:val="24"/>
                <w:shd w:val="clear" w:fill="FFFFFF"/>
                <w:vertAlign w:val="baseline"/>
                <w:lang w:val="en-US" w:eastAsia="zh-CN"/>
              </w:rPr>
              <w:t>整改情况</w:t>
            </w:r>
          </w:p>
        </w:tc>
        <w:tc>
          <w:tcPr>
            <w:tcW w:w="1704"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bCs/>
                <w:i w:val="0"/>
                <w:iCs w:val="0"/>
                <w:caps w:val="0"/>
                <w:color w:val="333333"/>
                <w:spacing w:val="0"/>
                <w:sz w:val="24"/>
                <w:szCs w:val="24"/>
                <w:shd w:val="clear" w:fill="FFFFFF"/>
                <w:vertAlign w:val="baseline"/>
                <w:lang w:val="en-US" w:eastAsia="zh-CN"/>
              </w:rPr>
            </w:pPr>
            <w:r>
              <w:rPr>
                <w:rFonts w:hint="eastAsia" w:cs="宋体"/>
                <w:b/>
                <w:bCs/>
                <w:i w:val="0"/>
                <w:iCs w:val="0"/>
                <w:caps w:val="0"/>
                <w:color w:val="333333"/>
                <w:spacing w:val="0"/>
                <w:sz w:val="24"/>
                <w:szCs w:val="24"/>
                <w:shd w:val="clear" w:fill="FFFFFF"/>
                <w:vertAlign w:val="baseline"/>
                <w:lang w:val="en-US" w:eastAsia="zh-CN"/>
              </w:rPr>
              <w:t>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1</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lang w:eastAsia="zh-CN"/>
              </w:rPr>
            </w:pPr>
            <w:r>
              <w:rPr>
                <w:rFonts w:hint="eastAsia" w:ascii="宋体" w:hAnsi="宋体" w:eastAsia="宋体" w:cs="宋体"/>
                <w:b w:val="0"/>
                <w:bCs w:val="0"/>
                <w:i w:val="0"/>
                <w:iCs w:val="0"/>
                <w:caps w:val="0"/>
                <w:color w:val="333333"/>
                <w:spacing w:val="0"/>
                <w:sz w:val="24"/>
                <w:szCs w:val="24"/>
                <w:shd w:val="clear" w:fill="FFFFFF"/>
                <w:vertAlign w:val="baseline"/>
              </w:rPr>
              <w:t>司法局、民政局部门所公开的权责清单(含政务服务网中权责清单)事项未按照职权名称、</w:t>
            </w:r>
            <w:r>
              <w:rPr>
                <w:rFonts w:hint="eastAsia" w:cs="宋体"/>
                <w:b w:val="0"/>
                <w:bCs w:val="0"/>
                <w:i w:val="0"/>
                <w:iCs w:val="0"/>
                <w:caps w:val="0"/>
                <w:color w:val="333333"/>
                <w:spacing w:val="0"/>
                <w:sz w:val="24"/>
                <w:szCs w:val="24"/>
                <w:shd w:val="clear" w:fill="FFFFFF"/>
                <w:vertAlign w:val="baseline"/>
                <w:lang w:val="en-US" w:eastAsia="zh-CN"/>
              </w:rPr>
              <w:t>编码、</w:t>
            </w:r>
            <w:r>
              <w:rPr>
                <w:rFonts w:hint="eastAsia" w:ascii="宋体" w:hAnsi="宋体" w:eastAsia="宋体" w:cs="宋体"/>
                <w:b w:val="0"/>
                <w:bCs w:val="0"/>
                <w:i w:val="0"/>
                <w:iCs w:val="0"/>
                <w:caps w:val="0"/>
                <w:color w:val="333333"/>
                <w:spacing w:val="0"/>
                <w:sz w:val="24"/>
                <w:szCs w:val="24"/>
                <w:shd w:val="clear" w:fill="FFFFFF"/>
                <w:vertAlign w:val="baseline"/>
              </w:rPr>
              <w:t>类型、依据、行使主体、流程图、监督方式等要素统</w:t>
            </w:r>
            <w:r>
              <w:rPr>
                <w:rFonts w:hint="eastAsia" w:cs="宋体"/>
                <w:b w:val="0"/>
                <w:bCs w:val="0"/>
                <w:i w:val="0"/>
                <w:iCs w:val="0"/>
                <w:caps w:val="0"/>
                <w:color w:val="333333"/>
                <w:spacing w:val="0"/>
                <w:sz w:val="24"/>
                <w:szCs w:val="24"/>
                <w:shd w:val="clear" w:fill="FFFFFF"/>
                <w:vertAlign w:val="baseline"/>
                <w:lang w:val="en-US" w:eastAsia="zh-CN"/>
              </w:rPr>
              <w:t>一</w:t>
            </w:r>
            <w:r>
              <w:rPr>
                <w:rFonts w:hint="eastAsia" w:ascii="宋体" w:hAnsi="宋体" w:eastAsia="宋体" w:cs="宋体"/>
                <w:b w:val="0"/>
                <w:bCs w:val="0"/>
                <w:i w:val="0"/>
                <w:iCs w:val="0"/>
                <w:caps w:val="0"/>
                <w:color w:val="333333"/>
                <w:spacing w:val="0"/>
                <w:sz w:val="24"/>
                <w:szCs w:val="24"/>
                <w:shd w:val="clear" w:fill="FFFFFF"/>
                <w:vertAlign w:val="baseline"/>
              </w:rPr>
              <w:t>公开，主要缺少流程图及监督方式信息</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司法局、民政局</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lang w:val="en-US" w:eastAsia="zh-CN"/>
              </w:rPr>
            </w:pPr>
            <w:r>
              <w:rPr>
                <w:rFonts w:hint="eastAsia" w:cs="宋体" w:asciiTheme="minorHAnsi" w:hAnsiTheme="minorHAnsi" w:eastAsiaTheme="minorEastAsia"/>
                <w:b w:val="0"/>
                <w:bCs w:val="0"/>
                <w:i w:val="0"/>
                <w:iCs w:val="0"/>
                <w:caps w:val="0"/>
                <w:color w:val="333333"/>
                <w:spacing w:val="0"/>
                <w:kern w:val="2"/>
                <w:sz w:val="24"/>
                <w:szCs w:val="24"/>
                <w:shd w:val="clear" w:fill="FFFFFF"/>
                <w:vertAlign w:val="baseline"/>
                <w:lang w:val="en-US" w:eastAsia="zh-CN" w:bidi="ar-SA"/>
              </w:rPr>
              <w:t>已整改</w:t>
            </w:r>
          </w:p>
        </w:tc>
        <w:tc>
          <w:tcPr>
            <w:tcW w:w="1704" w:type="dxa"/>
            <w:vAlign w:val="center"/>
          </w:tcPr>
          <w:p>
            <w:pPr>
              <w:jc w:val="center"/>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参考栏目：“法定主动公开内容”—“权责清单动态调整”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2</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lang w:eastAsia="zh-CN"/>
              </w:rPr>
            </w:pPr>
            <w:r>
              <w:rPr>
                <w:rFonts w:hint="eastAsia" w:ascii="宋体" w:hAnsi="宋体" w:eastAsia="宋体" w:cs="宋体"/>
                <w:b w:val="0"/>
                <w:bCs w:val="0"/>
                <w:i w:val="0"/>
                <w:iCs w:val="0"/>
                <w:caps w:val="0"/>
                <w:color w:val="333333"/>
                <w:spacing w:val="0"/>
                <w:sz w:val="24"/>
                <w:szCs w:val="24"/>
                <w:shd w:val="clear" w:fill="FFFFFF"/>
                <w:vertAlign w:val="baseline"/>
              </w:rPr>
              <w:t>本单位2021年随机抽查事项清单、随机抽查计划公开不全(仅公开部分部门)</w:t>
            </w:r>
            <w:r>
              <w:rPr>
                <w:rFonts w:hint="eastAsia" w:cs="宋体"/>
                <w:b w:val="0"/>
                <w:bCs w:val="0"/>
                <w:i w:val="0"/>
                <w:iCs w:val="0"/>
                <w:caps w:val="0"/>
                <w:color w:val="333333"/>
                <w:spacing w:val="0"/>
                <w:sz w:val="24"/>
                <w:szCs w:val="24"/>
                <w:shd w:val="clear" w:fill="FFFFFF"/>
                <w:vertAlign w:val="baseline"/>
                <w:lang w:eastAsia="zh-CN"/>
              </w:rPr>
              <w:t>；</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lang w:eastAsia="zh-CN"/>
              </w:rPr>
            </w:pPr>
            <w:r>
              <w:rPr>
                <w:rFonts w:hint="eastAsia" w:ascii="宋体" w:hAnsi="宋体" w:eastAsia="宋体" w:cs="宋体"/>
                <w:b w:val="0"/>
                <w:bCs w:val="0"/>
                <w:i w:val="0"/>
                <w:iCs w:val="0"/>
                <w:caps w:val="0"/>
                <w:color w:val="333333"/>
                <w:spacing w:val="0"/>
                <w:sz w:val="24"/>
                <w:szCs w:val="24"/>
                <w:shd w:val="clear" w:fill="FFFFFF"/>
                <w:vertAlign w:val="baseline"/>
              </w:rPr>
              <w:t>部分部门2021年随机抽查事项清单，缺少抽查方式(例如农业农村局、民政局)</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民政局、农业农村局与其他有双随机职能的部门</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已整改</w:t>
            </w:r>
          </w:p>
        </w:tc>
        <w:tc>
          <w:tcPr>
            <w:tcW w:w="1704" w:type="dxa"/>
            <w:vAlign w:val="center"/>
          </w:tcPr>
          <w:p>
            <w:pPr>
              <w:keepNext w:val="0"/>
              <w:keepLines w:val="0"/>
              <w:pageBreakBefore w:val="0"/>
              <w:widowControl/>
              <w:shd w:val="clear" w:color="auto" w:fill="FFFFFF"/>
              <w:kinsoku/>
              <w:wordWrap/>
              <w:overflowPunct/>
              <w:topLinePunct w:val="0"/>
              <w:autoSpaceDE/>
              <w:autoSpaceDN/>
              <w:bidi w:val="0"/>
              <w:adjustRightInd/>
              <w:snapToGrid/>
              <w:spacing w:line="360" w:lineRule="auto"/>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各部门均已一一排查，参考栏目：“双随机一公开”监管改革，其中</w:t>
            </w:r>
            <w:r>
              <w:rPr>
                <w:rFonts w:hint="eastAsia" w:ascii="宋体" w:hAnsi="宋体" w:eastAsia="宋体" w:cs="宋体"/>
                <w:b w:val="0"/>
                <w:bCs w:val="0"/>
                <w:i w:val="0"/>
                <w:iCs w:val="0"/>
                <w:caps w:val="0"/>
                <w:color w:val="333333"/>
                <w:spacing w:val="0"/>
                <w:kern w:val="44"/>
                <w:sz w:val="24"/>
                <w:szCs w:val="24"/>
                <w:shd w:val="clear" w:fill="FFFFFF"/>
                <w:vertAlign w:val="baseline"/>
                <w:lang w:val="en-US" w:eastAsia="zh-CN" w:bidi="ar"/>
              </w:rPr>
              <w:t>根据厦门市人民政府关于废止和修改部分市政府规章决定，商务局双随机职能已移交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3</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lang w:eastAsia="zh-CN"/>
              </w:rPr>
            </w:pPr>
            <w:r>
              <w:rPr>
                <w:rFonts w:hint="eastAsia" w:ascii="宋体" w:hAnsi="宋体" w:eastAsia="宋体" w:cs="宋体"/>
                <w:b w:val="0"/>
                <w:bCs w:val="0"/>
                <w:i w:val="0"/>
                <w:iCs w:val="0"/>
                <w:caps w:val="0"/>
                <w:color w:val="333333"/>
                <w:spacing w:val="0"/>
                <w:sz w:val="24"/>
                <w:szCs w:val="24"/>
                <w:shd w:val="clear" w:fill="FFFFFF"/>
                <w:vertAlign w:val="baseline"/>
              </w:rPr>
              <w:t>本单位202</w:t>
            </w:r>
            <w:r>
              <w:rPr>
                <w:rFonts w:hint="eastAsia" w:cs="宋体"/>
                <w:b w:val="0"/>
                <w:bCs w:val="0"/>
                <w:i w:val="0"/>
                <w:iCs w:val="0"/>
                <w:caps w:val="0"/>
                <w:color w:val="333333"/>
                <w:spacing w:val="0"/>
                <w:sz w:val="24"/>
                <w:szCs w:val="24"/>
                <w:shd w:val="clear" w:fill="FFFFFF"/>
                <w:vertAlign w:val="baseline"/>
                <w:lang w:val="en-US" w:eastAsia="zh-CN"/>
              </w:rPr>
              <w:t>1</w:t>
            </w:r>
            <w:r>
              <w:rPr>
                <w:rFonts w:hint="eastAsia" w:ascii="宋体" w:hAnsi="宋体" w:eastAsia="宋体" w:cs="宋体"/>
                <w:b w:val="0"/>
                <w:bCs w:val="0"/>
                <w:i w:val="0"/>
                <w:iCs w:val="0"/>
                <w:caps w:val="0"/>
                <w:color w:val="333333"/>
                <w:spacing w:val="0"/>
                <w:sz w:val="24"/>
                <w:szCs w:val="24"/>
                <w:shd w:val="clear" w:fill="FFFFFF"/>
                <w:vertAlign w:val="baseline"/>
              </w:rPr>
              <w:t>年图文会议信息发布较少，</w:t>
            </w:r>
            <w:r>
              <w:rPr>
                <w:rFonts w:hint="eastAsia" w:cs="宋体"/>
                <w:b w:val="0"/>
                <w:bCs w:val="0"/>
                <w:i w:val="0"/>
                <w:iCs w:val="0"/>
                <w:caps w:val="0"/>
                <w:color w:val="333333"/>
                <w:spacing w:val="0"/>
                <w:sz w:val="24"/>
                <w:szCs w:val="24"/>
                <w:shd w:val="clear" w:fill="FFFFFF"/>
                <w:vertAlign w:val="baseline"/>
                <w:lang w:val="en-US" w:eastAsia="zh-CN"/>
              </w:rPr>
              <w:t>未提供</w:t>
            </w:r>
            <w:r>
              <w:rPr>
                <w:rFonts w:hint="eastAsia" w:ascii="宋体" w:hAnsi="宋体" w:eastAsia="宋体" w:cs="宋体"/>
                <w:b w:val="0"/>
                <w:bCs w:val="0"/>
                <w:i w:val="0"/>
                <w:iCs w:val="0"/>
                <w:caps w:val="0"/>
                <w:color w:val="333333"/>
                <w:spacing w:val="0"/>
                <w:sz w:val="24"/>
                <w:szCs w:val="24"/>
                <w:shd w:val="clear" w:fill="FFFFFF"/>
                <w:vertAlign w:val="baseline"/>
              </w:rPr>
              <w:t>视频会议直播或回放</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政府办</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已整改</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已在2021年基础上进行修改，重点完善后续会议解读内容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4</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lang w:eastAsia="zh-CN"/>
              </w:rPr>
            </w:pPr>
            <w:r>
              <w:rPr>
                <w:rFonts w:hint="eastAsia" w:ascii="宋体" w:hAnsi="宋体" w:eastAsia="宋体" w:cs="宋体"/>
                <w:b w:val="0"/>
                <w:bCs w:val="0"/>
                <w:i w:val="0"/>
                <w:iCs w:val="0"/>
                <w:caps w:val="0"/>
                <w:color w:val="333333"/>
                <w:spacing w:val="0"/>
                <w:sz w:val="24"/>
                <w:szCs w:val="24"/>
                <w:shd w:val="clear" w:fill="FFFFFF"/>
                <w:vertAlign w:val="baseline"/>
              </w:rPr>
              <w:t>翔安新机场片区首座大型互通立交-田墘互通立交工程</w:t>
            </w:r>
            <w:r>
              <w:rPr>
                <w:rFonts w:hint="eastAsia" w:cs="宋体"/>
                <w:b w:val="0"/>
                <w:bCs w:val="0"/>
                <w:i w:val="0"/>
                <w:iCs w:val="0"/>
                <w:caps w:val="0"/>
                <w:color w:val="333333"/>
                <w:spacing w:val="0"/>
                <w:sz w:val="24"/>
                <w:szCs w:val="24"/>
                <w:shd w:val="clear" w:fill="FFFFFF"/>
                <w:vertAlign w:val="baseline"/>
                <w:lang w:eastAsia="zh-CN"/>
              </w:rPr>
              <w:t>，</w:t>
            </w:r>
            <w:r>
              <w:rPr>
                <w:rFonts w:hint="eastAsia" w:ascii="宋体" w:hAnsi="宋体" w:eastAsia="宋体" w:cs="宋体"/>
                <w:b w:val="0"/>
                <w:bCs w:val="0"/>
                <w:i w:val="0"/>
                <w:iCs w:val="0"/>
                <w:caps w:val="0"/>
                <w:color w:val="333333"/>
                <w:spacing w:val="0"/>
                <w:sz w:val="24"/>
                <w:szCs w:val="24"/>
                <w:shd w:val="clear" w:fill="FFFFFF"/>
                <w:vertAlign w:val="baseline"/>
              </w:rPr>
              <w:t>本单位未按照全生命周期公开重大建设项目信息</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本项目为一般工程项目。后续重点建设项目统一录入重大建设项目管理系统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5</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未查阅到本单位疫情类应急预案</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rightChars="0"/>
              <w:jc w:val="center"/>
              <w:textAlignment w:val="auto"/>
              <w:outlineLvl w:val="0"/>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疫情防控指挥部</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rightChars="0"/>
              <w:jc w:val="center"/>
              <w:textAlignment w:val="auto"/>
              <w:outlineLvl w:val="0"/>
              <w:rPr>
                <w:rFonts w:hint="eastAsia"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本预案不属于主动公开内容，无法对外公开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6</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本单位新冠肺炎病毒疫苗接种点信息发布不全，缺少联系方式、疫苗种类信息</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卫健委</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疫苗种类已完善，联系方式统一转发市一级，无法单独公开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7</w:t>
            </w:r>
          </w:p>
        </w:tc>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依申请公开</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政府办</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实际工作中，已严格按照法定程序进行依申请公开答复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8</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lang w:eastAsia="zh-CN"/>
              </w:rPr>
            </w:pPr>
            <w:r>
              <w:rPr>
                <w:rFonts w:hint="eastAsia" w:cs="宋体"/>
                <w:b w:val="0"/>
                <w:bCs w:val="0"/>
                <w:i w:val="0"/>
                <w:iCs w:val="0"/>
                <w:caps w:val="0"/>
                <w:color w:val="333333"/>
                <w:spacing w:val="0"/>
                <w:sz w:val="24"/>
                <w:szCs w:val="24"/>
                <w:shd w:val="clear" w:fill="FFFFFF"/>
                <w:vertAlign w:val="baseline"/>
                <w:lang w:eastAsia="zh-CN"/>
              </w:rPr>
              <w:t>【</w:t>
            </w:r>
            <w:r>
              <w:rPr>
                <w:rFonts w:hint="eastAsia" w:cs="宋体"/>
                <w:b w:val="0"/>
                <w:bCs w:val="0"/>
                <w:i w:val="0"/>
                <w:iCs w:val="0"/>
                <w:caps w:val="0"/>
                <w:color w:val="333333"/>
                <w:spacing w:val="0"/>
                <w:sz w:val="24"/>
                <w:szCs w:val="24"/>
                <w:shd w:val="clear" w:fill="FFFFFF"/>
                <w:vertAlign w:val="baseline"/>
                <w:lang w:val="en-US" w:eastAsia="zh-CN"/>
              </w:rPr>
              <w:t>图解</w:t>
            </w:r>
            <w:r>
              <w:rPr>
                <w:rFonts w:hint="eastAsia" w:cs="宋体"/>
                <w:b w:val="0"/>
                <w:bCs w:val="0"/>
                <w:i w:val="0"/>
                <w:iCs w:val="0"/>
                <w:caps w:val="0"/>
                <w:color w:val="333333"/>
                <w:spacing w:val="0"/>
                <w:sz w:val="24"/>
                <w:szCs w:val="24"/>
                <w:shd w:val="clear" w:fill="FFFFFF"/>
                <w:vertAlign w:val="baseline"/>
                <w:lang w:eastAsia="zh-CN"/>
              </w:rPr>
              <w:t>】</w:t>
            </w:r>
            <w:r>
              <w:rPr>
                <w:rFonts w:hint="eastAsia" w:ascii="宋体" w:hAnsi="宋体" w:eastAsia="宋体" w:cs="宋体"/>
                <w:b w:val="0"/>
                <w:bCs w:val="0"/>
                <w:i w:val="0"/>
                <w:iCs w:val="0"/>
                <w:caps w:val="0"/>
                <w:color w:val="333333"/>
                <w:spacing w:val="0"/>
                <w:sz w:val="24"/>
                <w:szCs w:val="24"/>
                <w:shd w:val="clear" w:fill="FFFFFF"/>
                <w:vertAlign w:val="baseline"/>
              </w:rPr>
              <w:t>关于我区积极应对新冠肺炎疫情影响助力企业纾困减负若干措施的政策解读解读材料中未提供咨询电话</w:t>
            </w:r>
            <w:r>
              <w:rPr>
                <w:rFonts w:hint="eastAsia" w:cs="宋体"/>
                <w:b w:val="0"/>
                <w:bCs w:val="0"/>
                <w:i w:val="0"/>
                <w:iCs w:val="0"/>
                <w:caps w:val="0"/>
                <w:color w:val="333333"/>
                <w:spacing w:val="0"/>
                <w:sz w:val="24"/>
                <w:szCs w:val="24"/>
                <w:shd w:val="clear" w:fill="FFFFFF"/>
                <w:vertAlign w:val="baseline"/>
                <w:lang w:eastAsia="zh-CN"/>
              </w:rPr>
              <w:t>；</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rPr>
            </w:pPr>
            <w:r>
              <w:rPr>
                <w:rFonts w:hint="eastAsia" w:ascii="宋体" w:hAnsi="宋体" w:eastAsia="宋体" w:cs="宋体"/>
                <w:b w:val="0"/>
                <w:bCs w:val="0"/>
                <w:i w:val="0"/>
                <w:iCs w:val="0"/>
                <w:caps w:val="0"/>
                <w:color w:val="333333"/>
                <w:spacing w:val="0"/>
                <w:sz w:val="24"/>
                <w:szCs w:val="24"/>
                <w:shd w:val="clear" w:fill="FFFFFF"/>
                <w:vertAlign w:val="baseline"/>
              </w:rPr>
              <w:t>本单位未在网站开设社会政策问答栏目</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发改局、政府办</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已整改</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参考栏目：“政策解读”，“政策问答”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9</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本单位2021年政策解读未包含优化营商环境方面的政策</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财政局</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已整改</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2022年制定发布关于《厦门市翔安区财政局关于进一步推进企业改制上市的意见》的解读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03"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ascii="宋体" w:hAnsi="宋体" w:eastAsia="宋体"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10</w:t>
            </w:r>
          </w:p>
        </w:tc>
        <w:tc>
          <w:tcPr>
            <w:tcW w:w="1703" w:type="dxa"/>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lang w:eastAsia="zh-CN"/>
              </w:rPr>
            </w:pPr>
            <w:r>
              <w:rPr>
                <w:rFonts w:hint="eastAsia" w:ascii="宋体" w:hAnsi="宋体" w:eastAsia="宋体" w:cs="宋体"/>
                <w:b w:val="0"/>
                <w:bCs w:val="0"/>
                <w:i w:val="0"/>
                <w:iCs w:val="0"/>
                <w:caps w:val="0"/>
                <w:color w:val="333333"/>
                <w:spacing w:val="0"/>
                <w:sz w:val="24"/>
                <w:szCs w:val="24"/>
                <w:shd w:val="clear" w:fill="FFFFFF"/>
                <w:vertAlign w:val="baseline"/>
              </w:rPr>
              <w:t>【图解】关于我区积极应对新冠肺炎疫情影响助力企业纾困减负若干措施的政策解读</w:t>
            </w:r>
            <w:r>
              <w:rPr>
                <w:rFonts w:hint="eastAsia" w:cs="宋体"/>
                <w:b w:val="0"/>
                <w:bCs w:val="0"/>
                <w:i w:val="0"/>
                <w:iCs w:val="0"/>
                <w:caps w:val="0"/>
                <w:color w:val="333333"/>
                <w:spacing w:val="0"/>
                <w:sz w:val="24"/>
                <w:szCs w:val="24"/>
                <w:shd w:val="clear" w:fill="FFFFFF"/>
                <w:vertAlign w:val="baseline"/>
                <w:lang w:eastAsia="zh-CN"/>
              </w:rPr>
              <w:t>，</w:t>
            </w:r>
            <w:r>
              <w:rPr>
                <w:rFonts w:hint="eastAsia" w:ascii="宋体" w:hAnsi="宋体" w:eastAsia="宋体" w:cs="宋体"/>
                <w:b w:val="0"/>
                <w:bCs w:val="0"/>
                <w:i w:val="0"/>
                <w:iCs w:val="0"/>
                <w:caps w:val="0"/>
                <w:color w:val="333333"/>
                <w:spacing w:val="0"/>
                <w:sz w:val="24"/>
                <w:szCs w:val="24"/>
                <w:shd w:val="clear" w:fill="FFFFFF"/>
                <w:vertAlign w:val="baseline"/>
              </w:rPr>
              <w:t>抽查政策解读不规范，内容过简，仅包括出台背景、起草过程、主要内容</w:t>
            </w:r>
            <w:r>
              <w:rPr>
                <w:rFonts w:hint="eastAsia" w:cs="宋体"/>
                <w:b w:val="0"/>
                <w:bCs w:val="0"/>
                <w:i w:val="0"/>
                <w:iCs w:val="0"/>
                <w:caps w:val="0"/>
                <w:color w:val="333333"/>
                <w:spacing w:val="0"/>
                <w:sz w:val="24"/>
                <w:szCs w:val="24"/>
                <w:shd w:val="clear" w:fill="FFFFFF"/>
                <w:vertAlign w:val="baseline"/>
                <w:lang w:eastAsia="zh-CN"/>
              </w:rPr>
              <w:t>；</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b w:val="0"/>
                <w:bCs w:val="0"/>
                <w:i w:val="0"/>
                <w:iCs w:val="0"/>
                <w:caps w:val="0"/>
                <w:color w:val="333333"/>
                <w:spacing w:val="0"/>
                <w:sz w:val="24"/>
                <w:szCs w:val="24"/>
                <w:shd w:val="clear" w:fill="FFFFFF"/>
                <w:vertAlign w:val="baseline"/>
                <w:lang w:eastAsia="zh-CN"/>
              </w:rPr>
            </w:pPr>
            <w:r>
              <w:rPr>
                <w:rFonts w:hint="eastAsia" w:ascii="宋体" w:hAnsi="宋体" w:eastAsia="宋体" w:cs="宋体"/>
                <w:b w:val="0"/>
                <w:bCs w:val="0"/>
                <w:i w:val="0"/>
                <w:iCs w:val="0"/>
                <w:caps w:val="0"/>
                <w:color w:val="333333"/>
                <w:spacing w:val="0"/>
                <w:sz w:val="24"/>
                <w:szCs w:val="24"/>
                <w:shd w:val="clear" w:fill="FFFFFF"/>
                <w:vertAlign w:val="baseline"/>
              </w:rPr>
              <w:t>未公开本单位邀请专家、媒体开展政策解读</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发改局</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已整改</w:t>
            </w:r>
          </w:p>
        </w:tc>
        <w:tc>
          <w:tcPr>
            <w:tcW w:w="1704" w:type="dxa"/>
            <w:vAlign w:val="center"/>
          </w:tcPr>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jc w:val="center"/>
              <w:textAlignment w:val="auto"/>
              <w:rPr>
                <w:rFonts w:hint="default" w:cs="宋体"/>
                <w:b w:val="0"/>
                <w:bCs w:val="0"/>
                <w:i w:val="0"/>
                <w:iCs w:val="0"/>
                <w:caps w:val="0"/>
                <w:color w:val="333333"/>
                <w:spacing w:val="0"/>
                <w:sz w:val="24"/>
                <w:szCs w:val="24"/>
                <w:shd w:val="clear" w:fill="FFFFFF"/>
                <w:vertAlign w:val="baseline"/>
                <w:lang w:val="en-US" w:eastAsia="zh-CN"/>
              </w:rPr>
            </w:pPr>
            <w:r>
              <w:rPr>
                <w:rFonts w:hint="eastAsia" w:cs="宋体"/>
                <w:b w:val="0"/>
                <w:bCs w:val="0"/>
                <w:i w:val="0"/>
                <w:iCs w:val="0"/>
                <w:caps w:val="0"/>
                <w:color w:val="333333"/>
                <w:spacing w:val="0"/>
                <w:sz w:val="24"/>
                <w:szCs w:val="24"/>
                <w:shd w:val="clear" w:fill="FFFFFF"/>
                <w:vertAlign w:val="baseline"/>
                <w:lang w:val="en-US" w:eastAsia="zh-CN"/>
              </w:rPr>
              <w:t>政策解读内容已增加解读要素，实际工作中访谈解读并行</w:t>
            </w:r>
          </w:p>
        </w:tc>
      </w:tr>
    </w:tbl>
    <w:p>
      <w:pPr>
        <w:rPr>
          <w:rFonts w:hint="eastAsia" w:ascii="宋体" w:hAnsi="宋体" w:eastAsia="宋体" w:cs="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楷体">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hMmI3Yjk2NTYxNGQyNGNjNTllOGRmMjlmMmY1ODQifQ=="/>
  </w:docVars>
  <w:rsids>
    <w:rsidRoot w:val="00000000"/>
    <w:rsid w:val="086258AB"/>
    <w:rsid w:val="10C0705E"/>
    <w:rsid w:val="1AEB5B1E"/>
    <w:rsid w:val="25660EFE"/>
    <w:rsid w:val="26EB4D01"/>
    <w:rsid w:val="2D905A51"/>
    <w:rsid w:val="2FEA0EF5"/>
    <w:rsid w:val="6FFA5661"/>
    <w:rsid w:val="7265534C"/>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1683</Words>
  <Characters>1712</Characters>
  <Lines>0</Lines>
  <Paragraphs>0</Paragraphs>
  <ScaleCrop>false</ScaleCrop>
  <LinksUpToDate>false</LinksUpToDate>
  <CharactersWithSpaces>1712</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2022-12-15T01:38:00Z</dcterms:created>
  <dc:creator>AC</dc:creator>
  <cp:lastModifiedBy>guodongmei</cp:lastModifiedBy>
  <dcterms:modified xsi:type="dcterms:W3CDTF">2022-12-19T04:50:26Z</dcterms:modified>
  <dc:title>【省级政务公开测评整改报告与整改清单】</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732F17C665E64575AAEA4251EF213C29</vt:lpwstr>
  </property>
</Properties>
</file>