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ind w:firstLine="723" w:firstLineChars="200"/>
        <w:jc w:val="center"/>
        <w:textAlignment w:val="auto"/>
        <w:rPr>
          <w:rFonts w:hint="default" w:ascii="方正小标宋简体" w:hAnsi="方正小标宋简体" w:eastAsia="方正小标宋简体" w:cs="方正小标宋简体"/>
          <w:b/>
          <w:bCs/>
          <w:sz w:val="36"/>
          <w:szCs w:val="36"/>
          <w:lang w:val="en-US" w:eastAsia="zh-CN"/>
        </w:rPr>
      </w:pPr>
      <w:r>
        <w:rPr>
          <w:rFonts w:hint="eastAsia" w:ascii="方正小标宋简体" w:hAnsi="方正小标宋简体" w:eastAsia="方正小标宋简体" w:cs="方正小标宋简体"/>
          <w:b/>
          <w:bCs/>
          <w:sz w:val="36"/>
          <w:szCs w:val="36"/>
          <w:lang w:val="en-US" w:eastAsia="zh-CN"/>
        </w:rPr>
        <w:t>翔安区2022年度政务公开回头看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根据厦门市翔安区评估反馈单</w:t>
      </w:r>
      <w:bookmarkStart w:id="0" w:name="_GoBack"/>
      <w:bookmarkEnd w:id="0"/>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区对照2022年国办考核要求全面自纠自查，并根据我区工作实际分析</w:t>
      </w:r>
      <w:r>
        <w:rPr>
          <w:rFonts w:hint="eastAsia" w:ascii="仿宋_GB2312" w:hAnsi="仿宋_GB2312" w:eastAsia="仿宋_GB2312" w:cs="仿宋_GB2312"/>
          <w:sz w:val="32"/>
          <w:szCs w:val="32"/>
        </w:rPr>
        <w:t>存在问题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对照</w:t>
      </w:r>
      <w:r>
        <w:rPr>
          <w:rFonts w:hint="eastAsia" w:ascii="仿宋_GB2312" w:hAnsi="仿宋_GB2312" w:eastAsia="仿宋_GB2312" w:cs="仿宋_GB2312"/>
          <w:sz w:val="32"/>
          <w:szCs w:val="32"/>
        </w:rPr>
        <w:t>制定整改措施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并跟踪各单位整改进度，确保问题整改落实到位，实现应整改、尽整改。</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一、存在问题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问题一：主动公开方面。一是完善目录设置，本单位未在“法定主动公开内容”中设置建议提案办理目录。二是提高信息公开质量，如重点领域信息未按照各领域事项标准目录内容公开相应信息。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问题二：政策解读回应方面。未能丰富政策解读形式，通过多种方式开展解读。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问题三：平台建设方面。存在问题为我区未在专区内放置查询机；本单位未在专区内创新其他意见收集反馈渠道。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问题四：激励性指标方面。本单位政务公开工作举措未被办公厅选中作为典型案例报送，政务公开工作经验做法未被国办选中刊登到国办网站的情况。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二、整改情况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一整改情况：“法定主动公开内容”中已完善建议提案办理目录。其中，三级指标中政策文件已按照规范性文件清理结果更新文件有效性；重大决策预公开根据2022年重大行政决策目录文件新增座谈会征集形式，工业和信息化局已对照公开意见反馈信息；涉及权责清单、处罚强制信息、重大会议信息公开均已对照整改。其中权责清单,暂无省市参考依据,目前区级依旧沿袭历年权责清单模板,暂进行个例整改。重点领域信息，如养老服务、公共文化服务、安全生产、教育、基本医疗卫生以及抽查的重大建设项目已根据事项标准目录进行信息的初步补充完善，待下一步各单位工作进度以及上级工作要求，将参照事项标准目录实现信息的全面公开,重大建设项目信息将按照重点项目名单做好材料收集,信息录入以及后续维护工作。另外，部分重点领域信息，如食品药品安全、产品质量、保障性住房等，区一级不单独制作产生该类材料信息，暂统一转发市级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问题二整改情况：政策解读回应方面，我区已新增媒体解读、访谈解读两种形式，并对2022年部分文件以及2023年规范性文件开展领导解读和媒体解读，使政策解读进一步落实到位。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三整改情况：我区政务公开专区现共计12处，已全面提供信息查询服务以及政务公开意见收集反馈服务。其中专区均配备电脑、立体查询机等硬件设备供查询政府信息，意见收集反馈专区，提供有意见征集箱、网上征询网址、意见收集表等多形式征集方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问题四整改情况：激励性指标方面，我区将继续根据国办政务公开要点做好政务公开工作，积极响应省市要求报送政务公开经验做法。</w:t>
      </w:r>
    </w:p>
    <w:p>
      <w:pPr>
        <w:keepNext w:val="0"/>
        <w:keepLines w:val="0"/>
        <w:pageBreakBefore w:val="0"/>
        <w:widowControl w:val="0"/>
        <w:kinsoku/>
        <w:wordWrap/>
        <w:overflowPunct/>
        <w:topLinePunct w:val="0"/>
        <w:autoSpaceDE/>
        <w:autoSpaceDN/>
        <w:bidi w:val="0"/>
        <w:adjustRightInd/>
        <w:snapToGrid/>
        <w:ind w:firstLine="562" w:firstLineChars="200"/>
        <w:jc w:val="center"/>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2022年度政务公开测评问题整改清单</w:t>
      </w:r>
    </w:p>
    <w:tbl>
      <w:tblPr>
        <w:tblStyle w:val="6"/>
        <w:tblW w:w="8250"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
        <w:gridCol w:w="370"/>
        <w:gridCol w:w="410"/>
        <w:gridCol w:w="390"/>
        <w:gridCol w:w="410"/>
        <w:gridCol w:w="1551"/>
        <w:gridCol w:w="3670"/>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vertAlign w:val="baseline"/>
              </w:rPr>
            </w:pPr>
            <w:r>
              <w:rPr>
                <w:rFonts w:hint="eastAsia" w:ascii="仿宋" w:hAnsi="仿宋" w:eastAsia="仿宋" w:cs="仿宋"/>
                <w:b/>
                <w:bCs/>
                <w:i w:val="0"/>
                <w:iCs w:val="0"/>
                <w:caps w:val="0"/>
                <w:color w:val="333333"/>
                <w:spacing w:val="0"/>
                <w:sz w:val="24"/>
                <w:szCs w:val="24"/>
                <w:shd w:val="clear" w:fill="FFFFFF"/>
                <w:vertAlign w:val="baseline"/>
                <w:lang w:val="en-US" w:eastAsia="zh-CN"/>
              </w:rPr>
              <w:t>序号</w:t>
            </w:r>
          </w:p>
        </w:tc>
        <w:tc>
          <w:tcPr>
            <w:tcW w:w="370"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b/>
                <w:bCs/>
                <w:i w:val="0"/>
                <w:iCs w:val="0"/>
                <w:caps w:val="0"/>
                <w:color w:val="333333"/>
                <w:spacing w:val="0"/>
                <w:sz w:val="24"/>
                <w:szCs w:val="24"/>
                <w:shd w:val="clear" w:fill="FFFFFF"/>
                <w:vertAlign w:val="baseline"/>
                <w:lang w:val="en-US" w:eastAsia="zh-CN"/>
              </w:rPr>
            </w:pPr>
            <w:r>
              <w:rPr>
                <w:rFonts w:hint="eastAsia" w:ascii="仿宋" w:hAnsi="仿宋" w:eastAsia="仿宋" w:cs="仿宋"/>
                <w:b/>
                <w:bCs/>
                <w:i w:val="0"/>
                <w:iCs w:val="0"/>
                <w:caps w:val="0"/>
                <w:color w:val="333333"/>
                <w:spacing w:val="0"/>
                <w:sz w:val="24"/>
                <w:szCs w:val="24"/>
                <w:shd w:val="clear" w:fill="FFFFFF"/>
                <w:vertAlign w:val="baseline"/>
                <w:lang w:val="en-US" w:eastAsia="zh-CN"/>
              </w:rPr>
              <w:t>一级指标</w:t>
            </w:r>
          </w:p>
        </w:tc>
        <w:tc>
          <w:tcPr>
            <w:tcW w:w="410"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b/>
                <w:bCs/>
                <w:i w:val="0"/>
                <w:iCs w:val="0"/>
                <w:caps w:val="0"/>
                <w:color w:val="333333"/>
                <w:spacing w:val="0"/>
                <w:sz w:val="24"/>
                <w:szCs w:val="24"/>
                <w:shd w:val="clear" w:fill="FFFFFF"/>
                <w:vertAlign w:val="baseline"/>
                <w:lang w:val="en-US" w:eastAsia="zh-CN"/>
              </w:rPr>
            </w:pPr>
            <w:r>
              <w:rPr>
                <w:rFonts w:hint="eastAsia" w:ascii="仿宋" w:hAnsi="仿宋" w:eastAsia="仿宋" w:cs="仿宋"/>
                <w:b/>
                <w:bCs/>
                <w:i w:val="0"/>
                <w:iCs w:val="0"/>
                <w:caps w:val="0"/>
                <w:color w:val="333333"/>
                <w:spacing w:val="0"/>
                <w:sz w:val="24"/>
                <w:szCs w:val="24"/>
                <w:shd w:val="clear" w:fill="FFFFFF"/>
                <w:vertAlign w:val="baseline"/>
                <w:lang w:val="en-US" w:eastAsia="zh-CN"/>
              </w:rPr>
              <w:t>二级指标</w:t>
            </w:r>
          </w:p>
        </w:tc>
        <w:tc>
          <w:tcPr>
            <w:tcW w:w="390"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b/>
                <w:bCs/>
                <w:i w:val="0"/>
                <w:iCs w:val="0"/>
                <w:caps w:val="0"/>
                <w:color w:val="333333"/>
                <w:spacing w:val="0"/>
                <w:sz w:val="24"/>
                <w:szCs w:val="24"/>
                <w:shd w:val="clear" w:fill="FFFFFF"/>
                <w:vertAlign w:val="baseline"/>
                <w:lang w:val="en-US" w:eastAsia="zh-CN"/>
              </w:rPr>
            </w:pPr>
            <w:r>
              <w:rPr>
                <w:rFonts w:hint="eastAsia" w:ascii="仿宋" w:hAnsi="仿宋" w:eastAsia="仿宋" w:cs="仿宋"/>
                <w:b/>
                <w:bCs/>
                <w:i w:val="0"/>
                <w:iCs w:val="0"/>
                <w:caps w:val="0"/>
                <w:color w:val="333333"/>
                <w:spacing w:val="0"/>
                <w:sz w:val="24"/>
                <w:szCs w:val="24"/>
                <w:shd w:val="clear" w:fill="FFFFFF"/>
                <w:vertAlign w:val="baseline"/>
                <w:lang w:val="en-US" w:eastAsia="zh-CN"/>
              </w:rPr>
              <w:t>三级指标</w:t>
            </w:r>
          </w:p>
        </w:tc>
        <w:tc>
          <w:tcPr>
            <w:tcW w:w="410"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b/>
                <w:bCs/>
                <w:i w:val="0"/>
                <w:iCs w:val="0"/>
                <w:caps w:val="0"/>
                <w:color w:val="333333"/>
                <w:spacing w:val="0"/>
                <w:sz w:val="24"/>
                <w:szCs w:val="24"/>
                <w:shd w:val="clear" w:fill="FFFFFF"/>
                <w:vertAlign w:val="baseline"/>
                <w:lang w:val="en-US" w:eastAsia="zh-CN"/>
              </w:rPr>
            </w:pPr>
            <w:r>
              <w:rPr>
                <w:rFonts w:hint="eastAsia" w:ascii="仿宋" w:hAnsi="仿宋" w:eastAsia="仿宋" w:cs="仿宋"/>
                <w:b/>
                <w:bCs/>
                <w:i w:val="0"/>
                <w:iCs w:val="0"/>
                <w:caps w:val="0"/>
                <w:color w:val="333333"/>
                <w:spacing w:val="0"/>
                <w:sz w:val="24"/>
                <w:szCs w:val="24"/>
                <w:shd w:val="clear" w:fill="FFFFFF"/>
                <w:vertAlign w:val="baseline"/>
                <w:lang w:val="en-US" w:eastAsia="zh-CN"/>
              </w:rPr>
              <w:t>四级指标</w:t>
            </w:r>
          </w:p>
        </w:tc>
        <w:tc>
          <w:tcPr>
            <w:tcW w:w="1551"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vertAlign w:val="baseline"/>
              </w:rPr>
            </w:pPr>
            <w:r>
              <w:rPr>
                <w:rFonts w:hint="eastAsia" w:ascii="仿宋" w:hAnsi="仿宋" w:eastAsia="仿宋" w:cs="仿宋"/>
                <w:b/>
                <w:bCs/>
                <w:i w:val="0"/>
                <w:iCs w:val="0"/>
                <w:caps w:val="0"/>
                <w:color w:val="333333"/>
                <w:spacing w:val="0"/>
                <w:sz w:val="24"/>
                <w:szCs w:val="24"/>
                <w:shd w:val="clear" w:fill="FFFFFF"/>
                <w:vertAlign w:val="baseline"/>
                <w:lang w:val="en-US" w:eastAsia="zh-CN"/>
              </w:rPr>
              <w:t>问题明细</w:t>
            </w:r>
          </w:p>
        </w:tc>
        <w:tc>
          <w:tcPr>
            <w:tcW w:w="3670"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vertAlign w:val="baseline"/>
              </w:rPr>
            </w:pPr>
            <w:r>
              <w:rPr>
                <w:rFonts w:hint="eastAsia" w:ascii="仿宋" w:hAnsi="仿宋" w:eastAsia="仿宋" w:cs="仿宋"/>
                <w:b/>
                <w:bCs/>
                <w:i w:val="0"/>
                <w:iCs w:val="0"/>
                <w:caps w:val="0"/>
                <w:color w:val="333333"/>
                <w:spacing w:val="0"/>
                <w:sz w:val="24"/>
                <w:szCs w:val="24"/>
                <w:shd w:val="clear" w:fill="FFFFFF"/>
                <w:vertAlign w:val="baseline"/>
                <w:lang w:val="en-US" w:eastAsia="zh-CN"/>
              </w:rPr>
              <w:t>整改情况</w:t>
            </w:r>
          </w:p>
        </w:tc>
        <w:tc>
          <w:tcPr>
            <w:tcW w:w="1125" w:type="dxa"/>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b/>
                <w:bCs/>
                <w:i w:val="0"/>
                <w:iCs w:val="0"/>
                <w:caps w:val="0"/>
                <w:color w:val="333333"/>
                <w:spacing w:val="0"/>
                <w:sz w:val="24"/>
                <w:szCs w:val="24"/>
                <w:shd w:val="clear" w:fill="FFFFFF"/>
                <w:vertAlign w:val="baseline"/>
                <w:lang w:val="en-US" w:eastAsia="zh-CN"/>
              </w:rPr>
            </w:pPr>
            <w:r>
              <w:rPr>
                <w:rFonts w:hint="eastAsia" w:ascii="仿宋" w:hAnsi="仿宋" w:eastAsia="仿宋" w:cs="仿宋"/>
                <w:b/>
                <w:bCs/>
                <w:i w:val="0"/>
                <w:iCs w:val="0"/>
                <w:caps w:val="0"/>
                <w:color w:val="333333"/>
                <w:spacing w:val="0"/>
                <w:sz w:val="24"/>
                <w:szCs w:val="24"/>
                <w:shd w:val="clear" w:fill="FFFFFF"/>
                <w:vertAlign w:val="baseline"/>
                <w:lang w:val="en-US" w:eastAsia="zh-CN"/>
              </w:rPr>
              <w:t>情况</w:t>
            </w:r>
          </w:p>
          <w:p>
            <w:pPr>
              <w:keepNext w:val="0"/>
              <w:keepLines w:val="0"/>
              <w:pageBreakBefore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仿宋" w:hAnsi="仿宋" w:eastAsia="仿宋" w:cs="仿宋"/>
                <w:vertAlign w:val="baseline"/>
              </w:rPr>
            </w:pPr>
            <w:r>
              <w:rPr>
                <w:rFonts w:hint="eastAsia" w:ascii="仿宋" w:hAnsi="仿宋" w:eastAsia="仿宋" w:cs="仿宋"/>
                <w:b/>
                <w:bCs/>
                <w:i w:val="0"/>
                <w:iCs w:val="0"/>
                <w:caps w:val="0"/>
                <w:color w:val="333333"/>
                <w:spacing w:val="0"/>
                <w:sz w:val="24"/>
                <w:szCs w:val="24"/>
                <w:shd w:val="clear" w:fill="FFFFFF"/>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基础信息公开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政策文件</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规范性文件立改废</w:t>
            </w:r>
          </w:p>
        </w:tc>
        <w:tc>
          <w:tcPr>
            <w:tcW w:w="1551" w:type="dxa"/>
          </w:tcPr>
          <w:p>
            <w:pPr>
              <w:keepNext w:val="0"/>
              <w:keepLines w:val="0"/>
              <w:widowControl/>
              <w:suppressLineNumbers w:val="0"/>
              <w:jc w:val="left"/>
              <w:rPr>
                <w:rFonts w:hint="eastAsia" w:ascii="仿宋" w:hAnsi="仿宋" w:eastAsia="仿宋" w:cs="仿宋"/>
                <w:vertAlign w:val="baseline"/>
              </w:rPr>
            </w:pPr>
            <w:r>
              <w:rPr>
                <w:rFonts w:hint="eastAsia" w:ascii="仿宋" w:hAnsi="仿宋" w:eastAsia="仿宋" w:cs="仿宋"/>
                <w:color w:val="000000"/>
                <w:kern w:val="0"/>
                <w:sz w:val="19"/>
                <w:szCs w:val="19"/>
                <w:lang w:val="en-US" w:eastAsia="zh-CN" w:bidi="ar"/>
              </w:rPr>
              <w:t>《厦门市翔安区人民政府关于印发被征地人员基本养老保险实施办法的通知》（厦翔政〔2009〕80号）抽查文件未按照规范性文件清理结果信息，更新规范性文件有效性</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1.http://www.xiangan.gov.cn/zfxxgk/XM06100/zfxxgkml/10/202210/t20221021_871518.htm</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2.http://www.xiangan.gov.cn/zfxxgk/XM06100/zfxxgkml/02/200906/t20090630_291130.htm</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2</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基础信息公开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重大决策预公开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意见征集及反馈</w:t>
            </w:r>
          </w:p>
        </w:tc>
        <w:tc>
          <w:tcPr>
            <w:tcW w:w="1551" w:type="dxa"/>
          </w:tcPr>
          <w:p>
            <w:pPr>
              <w:keepNext w:val="0"/>
              <w:keepLines w:val="0"/>
              <w:widowControl/>
              <w:suppressLineNumbers w:val="0"/>
              <w:jc w:val="left"/>
              <w:rPr>
                <w:rFonts w:hint="eastAsia" w:ascii="仿宋" w:hAnsi="仿宋" w:eastAsia="仿宋" w:cs="仿宋"/>
              </w:rPr>
            </w:pPr>
            <w:r>
              <w:rPr>
                <w:rFonts w:hint="eastAsia" w:ascii="仿宋" w:hAnsi="仿宋" w:eastAsia="仿宋" w:cs="仿宋"/>
                <w:color w:val="000000"/>
                <w:kern w:val="0"/>
                <w:sz w:val="19"/>
                <w:szCs w:val="19"/>
                <w:lang w:val="en-US" w:eastAsia="zh-CN" w:bidi="ar"/>
              </w:rPr>
              <w:t>翔安区工业和信息化局关于《翔安区关于励创新驱动发展的实施办法（征求意见</w:t>
            </w:r>
          </w:p>
          <w:p>
            <w:pPr>
              <w:keepNext w:val="0"/>
              <w:keepLines w:val="0"/>
              <w:widowControl/>
              <w:suppressLineNumbers w:val="0"/>
              <w:jc w:val="left"/>
              <w:rPr>
                <w:rFonts w:hint="eastAsia" w:ascii="仿宋" w:hAnsi="仿宋" w:eastAsia="仿宋" w:cs="仿宋"/>
              </w:rPr>
            </w:pPr>
            <w:r>
              <w:rPr>
                <w:rFonts w:hint="eastAsia" w:ascii="仿宋" w:hAnsi="仿宋" w:eastAsia="仿宋" w:cs="仿宋"/>
                <w:color w:val="000000"/>
                <w:kern w:val="0"/>
                <w:sz w:val="19"/>
                <w:szCs w:val="19"/>
                <w:lang w:val="en-US" w:eastAsia="zh-CN" w:bidi="ar"/>
              </w:rPr>
              <w:t>稿）》征求意见的通知未公开意见反馈及意见采纳情况；</w:t>
            </w:r>
          </w:p>
          <w:p>
            <w:pPr>
              <w:keepNext w:val="0"/>
              <w:keepLines w:val="0"/>
              <w:widowControl/>
              <w:suppressLineNumbers w:val="0"/>
              <w:jc w:val="left"/>
              <w:rPr>
                <w:rFonts w:hint="eastAsia" w:ascii="仿宋" w:hAnsi="仿宋" w:eastAsia="仿宋" w:cs="仿宋"/>
                <w:vertAlign w:val="baseline"/>
              </w:rPr>
            </w:pPr>
            <w:r>
              <w:rPr>
                <w:rFonts w:hint="eastAsia" w:ascii="仿宋" w:hAnsi="仿宋" w:eastAsia="仿宋" w:cs="仿宋"/>
                <w:color w:val="000000"/>
                <w:kern w:val="0"/>
                <w:sz w:val="19"/>
                <w:szCs w:val="19"/>
                <w:lang w:val="en-US" w:eastAsia="zh-CN" w:bidi="ar"/>
              </w:rPr>
              <w:t>2022年未采取座谈会、听证会、实地走访等方式广泛听取意见</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r>
              <w:rPr>
                <w:rFonts w:hint="eastAsia" w:ascii="仿宋" w:hAnsi="仿宋" w:eastAsia="仿宋" w:cs="仿宋"/>
                <w:vertAlign w:val="baseline"/>
                <w:lang w:val="en-US" w:eastAsia="zh-CN"/>
              </w:rPr>
              <w:fldChar w:fldCharType="begin"/>
            </w:r>
            <w:r>
              <w:rPr>
                <w:rFonts w:hint="eastAsia" w:ascii="仿宋" w:hAnsi="仿宋" w:eastAsia="仿宋" w:cs="仿宋"/>
                <w:vertAlign w:val="baseline"/>
                <w:lang w:val="en-US" w:eastAsia="zh-CN"/>
              </w:rPr>
              <w:instrText xml:space="preserve"> HYPERLINK "http://www.xiangan.gov.cn/zwgk/zdjcygk/yjfk/202301/t20230112_894548.htm" </w:instrText>
            </w:r>
            <w:r>
              <w:rPr>
                <w:rFonts w:hint="eastAsia" w:ascii="仿宋" w:hAnsi="仿宋" w:eastAsia="仿宋" w:cs="仿宋"/>
                <w:vertAlign w:val="baseline"/>
                <w:lang w:val="en-US" w:eastAsia="zh-CN"/>
              </w:rPr>
              <w:fldChar w:fldCharType="separate"/>
            </w:r>
            <w:r>
              <w:rPr>
                <w:rFonts w:hint="eastAsia" w:ascii="仿宋" w:hAnsi="仿宋" w:eastAsia="仿宋" w:cs="仿宋"/>
                <w:vertAlign w:val="baseline"/>
                <w:lang w:val="en-US" w:eastAsia="zh-CN"/>
              </w:rPr>
              <w:t>http://www.xiangan.gov.cn/zwgk/zdjcygk/yjfk/202301/t20230112_894548.htm</w:t>
            </w:r>
            <w:r>
              <w:rPr>
                <w:rFonts w:hint="eastAsia" w:ascii="仿宋" w:hAnsi="仿宋" w:eastAsia="仿宋" w:cs="仿宋"/>
                <w:vertAlign w:val="baseline"/>
                <w:lang w:val="en-US" w:eastAsia="zh-CN"/>
              </w:rPr>
              <w:fldChar w:fldCharType="end"/>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2.http://www.xiangan.gov.cn/zwgk/zdjcygk/tzztzj/</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3</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基础信息公开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权责清单</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多数权责清单缺少责任事项、追责情形追责依据等要素（例如厦门市翔安区卫生健康局关于调整公布权责清单的通知）</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http://www.xiangan.gov.cn/zfxxgk/XM06100/zfxxgkml/10/202210/t20221021_871518.htm</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4</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基础信息公开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处罚强制信息</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行政处罚和行政强制直接链接至信用中国（翔安）网站，未公开行政处罚、行政强制实施的依据、条件、程序。</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http://www.xiangan.gov.cn/zfxxgk/xzqlyxt/xzql/</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原已单独公布在“法定主动公开内容”-“行政权力运行”-“权责清单动态调整”栏目下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5</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基础信息公开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人大代表建议、政协委员提案办理情况</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未在“法定主动公开内容”中设置建议提案办理目录。</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r>
              <w:rPr>
                <w:rFonts w:hint="eastAsia" w:ascii="仿宋" w:hAnsi="仿宋" w:eastAsia="仿宋" w:cs="仿宋"/>
                <w:vertAlign w:val="baseline"/>
                <w:lang w:val="en-US" w:eastAsia="zh-CN"/>
              </w:rPr>
              <w:fldChar w:fldCharType="begin"/>
            </w:r>
            <w:r>
              <w:rPr>
                <w:rFonts w:hint="eastAsia" w:ascii="仿宋" w:hAnsi="仿宋" w:eastAsia="仿宋" w:cs="仿宋"/>
                <w:vertAlign w:val="baseline"/>
                <w:lang w:val="en-US" w:eastAsia="zh-CN"/>
              </w:rPr>
              <w:instrText xml:space="preserve"> HYPERLINK "http://www.xiangan.gov.cn/zfxxgk/XM06100/zfxxgkml/" </w:instrText>
            </w:r>
            <w:r>
              <w:rPr>
                <w:rFonts w:hint="eastAsia" w:ascii="仿宋" w:hAnsi="仿宋" w:eastAsia="仿宋" w:cs="仿宋"/>
                <w:vertAlign w:val="baseline"/>
                <w:lang w:val="en-US" w:eastAsia="zh-CN"/>
              </w:rPr>
              <w:fldChar w:fldCharType="separate"/>
            </w:r>
            <w:r>
              <w:rPr>
                <w:rFonts w:hint="eastAsia" w:ascii="仿宋" w:hAnsi="仿宋" w:eastAsia="仿宋" w:cs="仿宋"/>
                <w:vertAlign w:val="baseline"/>
                <w:lang w:val="en-US" w:eastAsia="zh-CN"/>
              </w:rPr>
              <w:t>http://www.xiangan.gov.cn/zfxxgk/XM06100/zfxxgkml/</w:t>
            </w:r>
            <w:r>
              <w:rPr>
                <w:rFonts w:hint="eastAsia" w:ascii="仿宋" w:hAnsi="仿宋" w:eastAsia="仿宋" w:cs="仿宋"/>
                <w:vertAlign w:val="baseline"/>
                <w:lang w:val="en-US" w:eastAsia="zh-CN"/>
              </w:rPr>
              <w:fldChar w:fldCharType="end"/>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2.http://www.xiangan.gov.cn/zwgk/zdxxgk/jyta/</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6</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基础信息公开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重大会议信息公开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本单位2022年多数常务会议未采取视频会议直播或回放。</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http://www.xiangan.gov.cn/zwgk/zdxxgk/fgwj/hytj/</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已补充至6份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7</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重大建设项目</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抽查：翔安区第二实验小学黎安校区施工、质量安全监督、竣工信息未按照能按照《国务院办公厅关于推进重大建设项目批准和实施领域政府信息公开的意见》（国办发〔2017〕94号）文件要求进行公开（例如施工信息缺少施工单位项目管理机构设置、工作职责、主要管理制度，施工期环境保护措施落实情况等）。</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jc w:val="left"/>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整改链接：http://www.xiangan.gov.cn/zwgk/zdxxgk/zdxm/index_10441.htm?id=ff80808184c2c97501851a2513490411&amp;request=1</w:t>
            </w:r>
          </w:p>
        </w:tc>
        <w:tc>
          <w:tcPr>
            <w:tcW w:w="1125"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trPr>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8</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疫情防控</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未公开本级政府疫情类应急预案</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暂不整改</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区一级疫情防控与疫苗接种专题已归档,且疫情预案为涉密信息，后续建议不公开(已与是市级电话沟通确认)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9</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食品药品安全</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此栏目下多为转发市级单位信息（该项得分参照该指标其他有权限单位平均得分情况）</w:t>
            </w:r>
          </w:p>
        </w:tc>
        <w:tc>
          <w:tcPr>
            <w:tcW w:w="3670"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区一级单位暂不单独制定掌握该信息</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10</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卫生健康</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未在基层政务公开标准化规范化工作专题中按照卫生健康领域基层政务公开标准目录全面更新2022年信息。</w:t>
            </w:r>
          </w:p>
        </w:tc>
        <w:tc>
          <w:tcPr>
            <w:tcW w:w="3670"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已进行部分更新整改</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根据推进政务服务标准化便利化，实现全省行政审批服务事项“五级十五同”要求，卫健局已将行政许可、公共服务事项、行政确认、行政给付、其他行政权力事项在福建省网上办事大厅进行公开，均按照公开要素和要求进行公开，做到“五级十五同”，其他信息公开在省卫健委、市卫健委公开后，卫健局再进行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11</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安全生产</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未在基层政务公开标准化规范化工作专题中公开2022年安全生产领域信息。</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1.</w:t>
            </w:r>
            <w:r>
              <w:rPr>
                <w:rFonts w:hint="default" w:ascii="仿宋" w:hAnsi="仿宋" w:eastAsia="仿宋" w:cs="仿宋"/>
                <w:vertAlign w:val="baseline"/>
                <w:lang w:val="en-US" w:eastAsia="zh-CN"/>
              </w:rPr>
              <w:t>http://www.xiangan.gov.cn/mlxa/ztzl/jczw/</w:t>
            </w:r>
          </w:p>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2.</w:t>
            </w:r>
            <w:r>
              <w:rPr>
                <w:rFonts w:hint="default" w:ascii="仿宋" w:hAnsi="仿宋" w:eastAsia="仿宋" w:cs="仿宋"/>
                <w:vertAlign w:val="baseline"/>
                <w:lang w:val="en-US" w:eastAsia="zh-CN"/>
              </w:rPr>
              <w:t>http://www.xiangan.gov.cn/zwgk/aqsc/</w:t>
            </w:r>
          </w:p>
        </w:tc>
        <w:tc>
          <w:tcPr>
            <w:tcW w:w="1125" w:type="dxa"/>
          </w:tcPr>
          <w:p>
            <w:pPr>
              <w:rPr>
                <w:rFonts w:hint="eastAsia" w:ascii="仿宋" w:hAnsi="仿宋" w:eastAsia="仿宋" w:cs="仿宋"/>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12</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产品质量</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此栏目下多为转发市级单位信息（该项得分参照该指标其他有权限单位平均得分情况）。</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区一级单位暂不单独制定掌握该信息</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13</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主动公开</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重点领域信息公开</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保障性住房</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此栏目下多为转发市级单位信息（该项得分参照该指标其他有权限单位平均得分情况）。</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区一级单位暂不单独制定掌握该信息</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14</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政策解读回应</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政策解读</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解读内容</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本单位政策问答库中视频、图解形式解答咨询事项较少。</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w:t>
            </w:r>
            <w:r>
              <w:rPr>
                <w:rFonts w:hint="eastAsia" w:ascii="仿宋" w:hAnsi="仿宋" w:eastAsia="仿宋" w:cs="仿宋"/>
                <w:vertAlign w:val="baseline"/>
                <w:lang w:val="en-US" w:eastAsia="zh-CN"/>
              </w:rPr>
              <w:fldChar w:fldCharType="begin"/>
            </w:r>
            <w:r>
              <w:rPr>
                <w:rFonts w:hint="eastAsia" w:ascii="仿宋" w:hAnsi="仿宋" w:eastAsia="仿宋" w:cs="仿宋"/>
                <w:vertAlign w:val="baseline"/>
                <w:lang w:val="en-US" w:eastAsia="zh-CN"/>
              </w:rPr>
              <w:instrText xml:space="preserve"> HYPERLINK "http://www.xiangan.gov.cn/zmhd/rdwt/yljk/202307/t20230720_919700.htm" </w:instrText>
            </w:r>
            <w:r>
              <w:rPr>
                <w:rFonts w:hint="eastAsia" w:ascii="仿宋" w:hAnsi="仿宋" w:eastAsia="仿宋" w:cs="仿宋"/>
                <w:vertAlign w:val="baseline"/>
                <w:lang w:val="en-US" w:eastAsia="zh-CN"/>
              </w:rPr>
              <w:fldChar w:fldCharType="separate"/>
            </w:r>
            <w:r>
              <w:rPr>
                <w:rFonts w:hint="eastAsia" w:ascii="仿宋" w:hAnsi="仿宋" w:eastAsia="仿宋" w:cs="仿宋"/>
                <w:vertAlign w:val="baseline"/>
                <w:lang w:val="en-US" w:eastAsia="zh-CN"/>
              </w:rPr>
              <w:t>http://www.xiangan.gov.cn/zmhd/rdwt/yljk/202307/t20230720_919700.htm</w:t>
            </w:r>
            <w:r>
              <w:rPr>
                <w:rFonts w:hint="eastAsia" w:ascii="仿宋" w:hAnsi="仿宋" w:eastAsia="仿宋" w:cs="仿宋"/>
                <w:vertAlign w:val="baseline"/>
                <w:lang w:val="en-US" w:eastAsia="zh-CN"/>
              </w:rPr>
              <w:fldChar w:fldCharType="end"/>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2.http://www.xiangan.gov.cn/zmhd/rdwt/yljk/202307/t20230720_919698.htm</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15</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政策解读回应</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政策解读</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解读质量</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rPr>
            </w:pPr>
            <w:r>
              <w:rPr>
                <w:rFonts w:hint="eastAsia" w:ascii="仿宋" w:hAnsi="仿宋" w:eastAsia="仿宋" w:cs="仿宋"/>
                <w:color w:val="000000"/>
                <w:kern w:val="0"/>
                <w:sz w:val="19"/>
                <w:szCs w:val="19"/>
                <w:lang w:val="en-US" w:eastAsia="zh-CN" w:bidi="ar"/>
              </w:rPr>
              <w:t>本单位2022年多数政策解读</w:t>
            </w:r>
          </w:p>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未能够从多个角度开展，未通过主管部门和领导、专家、媒体等对同一个政策文件开展多次解读。</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1.http://www.xiangan.gov.cn/zwgk/zdxxgk/fgwj/zcjd/ftjd/</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2.http://www.xiangan.gov.cn/zwgk/zdxxgk/fgwj/zcjd/mtjd/</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16</w:t>
            </w:r>
          </w:p>
        </w:tc>
        <w:tc>
          <w:tcPr>
            <w:tcW w:w="37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平台建设</w:t>
            </w: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政务公开专区</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rPr>
                <w:rFonts w:hint="eastAsia" w:ascii="仿宋" w:hAnsi="仿宋" w:eastAsia="仿宋" w:cs="仿宋"/>
              </w:rPr>
            </w:pPr>
            <w:r>
              <w:rPr>
                <w:rFonts w:hint="eastAsia" w:ascii="仿宋" w:hAnsi="仿宋" w:eastAsia="仿宋" w:cs="仿宋"/>
                <w:color w:val="000000"/>
                <w:kern w:val="0"/>
                <w:sz w:val="19"/>
                <w:szCs w:val="19"/>
                <w:lang w:val="en-US" w:eastAsia="zh-CN" w:bidi="ar"/>
              </w:rPr>
              <w:t>本单位未在专区内放置查询机；</w:t>
            </w:r>
          </w:p>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本单位未在专区内创新其他意见收集反馈渠道。</w:t>
            </w:r>
          </w:p>
        </w:tc>
        <w:tc>
          <w:tcPr>
            <w:tcW w:w="3670" w:type="dxa"/>
          </w:tcPr>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已整改</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t>整改链接：</w:t>
            </w:r>
          </w:p>
          <w:p>
            <w:pPr>
              <w:rPr>
                <w:rFonts w:hint="eastAsia" w:ascii="仿宋" w:hAnsi="仿宋" w:eastAsia="仿宋" w:cs="仿宋"/>
                <w:vertAlign w:val="baseline"/>
                <w:lang w:val="en-US" w:eastAsia="zh-CN"/>
              </w:rPr>
            </w:pPr>
            <w:r>
              <w:rPr>
                <w:rFonts w:hint="eastAsia" w:ascii="仿宋" w:hAnsi="仿宋" w:eastAsia="仿宋" w:cs="仿宋"/>
                <w:vertAlign w:val="baseline"/>
                <w:lang w:val="en-US" w:eastAsia="zh-CN"/>
              </w:rPr>
              <w:fldChar w:fldCharType="begin"/>
            </w:r>
            <w:r>
              <w:rPr>
                <w:rFonts w:hint="eastAsia" w:ascii="仿宋" w:hAnsi="仿宋" w:eastAsia="仿宋" w:cs="仿宋"/>
                <w:vertAlign w:val="baseline"/>
                <w:lang w:val="en-US" w:eastAsia="zh-CN"/>
              </w:rPr>
              <w:instrText xml:space="preserve"> HYPERLINK "http://www.xiangan.gov.cn/zwgk/zdxxgk/fgwj/zcjd/mtjd/" </w:instrText>
            </w:r>
            <w:r>
              <w:rPr>
                <w:rFonts w:hint="eastAsia" w:ascii="仿宋" w:hAnsi="仿宋" w:eastAsia="仿宋" w:cs="仿宋"/>
                <w:vertAlign w:val="baseline"/>
                <w:lang w:val="en-US" w:eastAsia="zh-CN"/>
              </w:rPr>
              <w:fldChar w:fldCharType="separate"/>
            </w:r>
            <w:r>
              <w:rPr>
                <w:rFonts w:hint="eastAsia" w:ascii="仿宋" w:hAnsi="仿宋" w:eastAsia="仿宋" w:cs="仿宋"/>
                <w:vertAlign w:val="baseline"/>
                <w:lang w:val="en-US" w:eastAsia="zh-CN"/>
              </w:rPr>
              <w:t>http://www.xiangan.gov.cn/zwgk/zdxxgk/fgwj/zcjd/mtjd/</w:t>
            </w:r>
            <w:r>
              <w:rPr>
                <w:rFonts w:hint="eastAsia" w:ascii="仿宋" w:hAnsi="仿宋" w:eastAsia="仿宋" w:cs="仿宋"/>
                <w:vertAlign w:val="baseline"/>
                <w:lang w:val="en-US" w:eastAsia="zh-CN"/>
              </w:rPr>
              <w:fldChar w:fldCharType="end"/>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 w:type="dxa"/>
            <w:vAlign w:val="center"/>
          </w:tcPr>
          <w:p>
            <w:pPr>
              <w:jc w:val="cente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17</w:t>
            </w:r>
          </w:p>
        </w:tc>
        <w:tc>
          <w:tcPr>
            <w:tcW w:w="370" w:type="dxa"/>
          </w:tcPr>
          <w:p>
            <w:pPr>
              <w:keepNext w:val="0"/>
              <w:keepLines w:val="0"/>
              <w:widowControl/>
              <w:suppressLineNumbers w:val="0"/>
              <w:jc w:val="left"/>
              <w:rPr>
                <w:rFonts w:hint="default"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激励性指标</w:t>
            </w:r>
          </w:p>
        </w:tc>
        <w:tc>
          <w:tcPr>
            <w:tcW w:w="410" w:type="dxa"/>
          </w:tcPr>
          <w:p>
            <w:pPr>
              <w:keepNext w:val="0"/>
              <w:keepLines w:val="0"/>
              <w:widowControl/>
              <w:suppressLineNumbers w:val="0"/>
              <w:jc w:val="left"/>
              <w:rPr>
                <w:rFonts w:hint="default" w:ascii="仿宋" w:hAnsi="仿宋" w:eastAsia="仿宋" w:cs="仿宋"/>
                <w:color w:val="000000"/>
                <w:kern w:val="0"/>
                <w:sz w:val="19"/>
                <w:szCs w:val="19"/>
                <w:lang w:val="en-US" w:eastAsia="zh-CN" w:bidi="ar"/>
              </w:rPr>
            </w:pPr>
            <w:r>
              <w:rPr>
                <w:rFonts w:hint="eastAsia" w:ascii="仿宋" w:hAnsi="仿宋" w:eastAsia="仿宋" w:cs="仿宋"/>
                <w:color w:val="000000"/>
                <w:kern w:val="0"/>
                <w:sz w:val="19"/>
                <w:szCs w:val="19"/>
                <w:lang w:val="en-US" w:eastAsia="zh-CN" w:bidi="ar"/>
              </w:rPr>
              <w:t>政务公开工作经验做法</w:t>
            </w:r>
          </w:p>
        </w:tc>
        <w:tc>
          <w:tcPr>
            <w:tcW w:w="39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410" w:type="dxa"/>
          </w:tcPr>
          <w:p>
            <w:pPr>
              <w:keepNext w:val="0"/>
              <w:keepLines w:val="0"/>
              <w:widowControl/>
              <w:suppressLineNumbers w:val="0"/>
              <w:jc w:val="left"/>
              <w:rPr>
                <w:rFonts w:hint="eastAsia" w:ascii="仿宋" w:hAnsi="仿宋" w:eastAsia="仿宋" w:cs="仿宋"/>
                <w:color w:val="000000"/>
                <w:kern w:val="0"/>
                <w:sz w:val="19"/>
                <w:szCs w:val="19"/>
                <w:lang w:val="en-US" w:eastAsia="zh-CN" w:bidi="ar"/>
              </w:rPr>
            </w:pPr>
          </w:p>
        </w:tc>
        <w:tc>
          <w:tcPr>
            <w:tcW w:w="1551" w:type="dxa"/>
          </w:tcPr>
          <w:p>
            <w:pPr>
              <w:keepNext w:val="0"/>
              <w:keepLines w:val="0"/>
              <w:widowControl/>
              <w:suppressLineNumbers w:val="0"/>
              <w:jc w:val="left"/>
            </w:pPr>
            <w:r>
              <w:rPr>
                <w:rFonts w:hint="eastAsia" w:ascii="宋体" w:hAnsi="宋体" w:eastAsia="宋体" w:cs="宋体"/>
                <w:color w:val="000000"/>
                <w:kern w:val="0"/>
                <w:sz w:val="19"/>
                <w:szCs w:val="19"/>
                <w:lang w:val="en-US" w:eastAsia="zh-CN" w:bidi="ar"/>
              </w:rPr>
              <w:t xml:space="preserve">本单位政务公开工作举措未被办公厅选中作为典型案例报送，政务公开工作经验做法未被国办选中刊登到国办网 </w:t>
            </w:r>
          </w:p>
          <w:p>
            <w:pPr>
              <w:keepNext w:val="0"/>
              <w:keepLines w:val="0"/>
              <w:widowControl/>
              <w:suppressLineNumbers w:val="0"/>
              <w:jc w:val="left"/>
              <w:rPr>
                <w:rFonts w:hint="eastAsia" w:ascii="仿宋" w:hAnsi="仿宋" w:eastAsia="仿宋" w:cs="仿宋"/>
                <w:color w:val="000000"/>
                <w:kern w:val="0"/>
                <w:sz w:val="19"/>
                <w:szCs w:val="19"/>
                <w:lang w:val="en-US" w:eastAsia="zh-CN" w:bidi="ar"/>
              </w:rPr>
            </w:pPr>
            <w:r>
              <w:rPr>
                <w:rFonts w:hint="eastAsia" w:ascii="宋体" w:hAnsi="宋体" w:eastAsia="宋体" w:cs="宋体"/>
                <w:color w:val="000000"/>
                <w:kern w:val="0"/>
                <w:sz w:val="19"/>
                <w:szCs w:val="19"/>
                <w:lang w:val="en-US" w:eastAsia="zh-CN" w:bidi="ar"/>
              </w:rPr>
              <w:t>站的情况。</w:t>
            </w:r>
          </w:p>
        </w:tc>
        <w:tc>
          <w:tcPr>
            <w:tcW w:w="3670"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暂无</w:t>
            </w:r>
            <w:r>
              <w:rPr>
                <w:rFonts w:hint="eastAsia" w:ascii="宋体" w:hAnsi="宋体" w:eastAsia="宋体" w:cs="宋体"/>
                <w:color w:val="000000"/>
                <w:kern w:val="0"/>
                <w:sz w:val="19"/>
                <w:szCs w:val="19"/>
                <w:lang w:val="en-US" w:eastAsia="zh-CN" w:bidi="ar"/>
              </w:rPr>
              <w:t>政务公开工作举措</w:t>
            </w:r>
            <w:r>
              <w:rPr>
                <w:rFonts w:hint="eastAsia" w:ascii="仿宋" w:hAnsi="仿宋" w:eastAsia="仿宋" w:cs="仿宋"/>
                <w:vertAlign w:val="baseline"/>
                <w:lang w:val="en-US" w:eastAsia="zh-CN"/>
              </w:rPr>
              <w:t>被办公厅选中</w:t>
            </w:r>
          </w:p>
        </w:tc>
        <w:tc>
          <w:tcPr>
            <w:tcW w:w="1125" w:type="dxa"/>
          </w:tcPr>
          <w:p>
            <w:pPr>
              <w:rPr>
                <w:rFonts w:hint="default" w:ascii="仿宋" w:hAnsi="仿宋" w:eastAsia="仿宋" w:cs="仿宋"/>
                <w:vertAlign w:val="baseline"/>
                <w:lang w:val="en-US" w:eastAsia="zh-CN"/>
              </w:rPr>
            </w:pPr>
            <w:r>
              <w:rPr>
                <w:rFonts w:hint="eastAsia" w:ascii="仿宋" w:hAnsi="仿宋" w:eastAsia="仿宋" w:cs="仿宋"/>
                <w:vertAlign w:val="baseline"/>
                <w:lang w:val="en-US" w:eastAsia="zh-CN"/>
              </w:rPr>
              <w:t>无</w:t>
            </w:r>
          </w:p>
        </w:tc>
      </w:tr>
    </w:tbl>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三、下一步工作思路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区将继续根据国办政务公开工作要点的通知以及省市政务公开工作主要任务分解表，进一步落实我区政务公开工作。一是继续做好法定主动公开工作，一一落实基础信息公开，健全优化专题专栏，完善基础信息公开内容，提高信息公开质量，确保政府信息集约化公开。二是按照依申请时限、程序等要求，继续开展依申请工作。三是继续探索创新多渠道、全方位的政策解读工作方式，及时做好规范性文件的解读工作，持续提升政策解读工作质量和效果。四是做好重点领域信息公开工作，参照重点领域信息公开标准目录，及时跟踪单位工作落实情况，规范化录入并公开重大建设项目信息以及其他重点领域信息。五是做好能力保障工作，继续做好季度报送工作，保障政府信息公开指南的指导性、参照性作用，保障政府信息年度报告的格式规范性、数据准确性，以及适时开展人员培训工作。六是进一步加强平台管理建设工作，保证信息内容的及时性、准确性和有效性，及时回应群众关切事项，做好便民服务工作。</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hMmI3Yjk2NTYxNGQyNGNjNTllOGRmMjlmMmY1ODQifQ=="/>
  </w:docVars>
  <w:rsids>
    <w:rsidRoot w:val="00000000"/>
    <w:rsid w:val="15FF8961"/>
    <w:rsid w:val="1A7D55D8"/>
    <w:rsid w:val="1F977F57"/>
    <w:rsid w:val="1FFFAB4A"/>
    <w:rsid w:val="3DDB4C33"/>
    <w:rsid w:val="62B266CA"/>
    <w:rsid w:val="7F7B7665"/>
    <w:rsid w:val="7FBFBA1E"/>
    <w:rsid w:val="7FD9DE01"/>
    <w:rsid w:val="E1DF9BC5"/>
    <w:rsid w:val="FFEA90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rFonts w:eastAsia="仿宋" w:asciiTheme="minorAscii" w:hAnsiTheme="minorAscii"/>
      <w:b/>
      <w:kern w:val="44"/>
      <w:sz w:val="28"/>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qFormat/>
    <w:uiPriority w:val="0"/>
    <w:rPr>
      <w:color w:val="0000FF"/>
      <w:u w:val="single"/>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3024</Words>
  <Characters>4101</Characters>
  <Lines>0</Lines>
  <Paragraphs>0</Paragraphs>
  <TotalTime>258</TotalTime>
  <ScaleCrop>false</ScaleCrop>
  <LinksUpToDate>false</LinksUpToDate>
  <CharactersWithSpaces>4102</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2023-07-21T16:12:00Z</dcterms:created>
  <dc:creator>AC</dc:creator>
  <cp:lastModifiedBy>查小子</cp:lastModifiedBy>
  <cp:lastPrinted>2023-07-21T22:44:00Z</cp:lastPrinted>
  <dcterms:modified xsi:type="dcterms:W3CDTF">2023-11-30T03:05:49Z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C54E1D1BDA2A40AE8C0070B4C66540DC</vt:lpwstr>
  </property>
</Properties>
</file>