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napToGrid w:val="0"/>
        <w:spacing w:line="400" w:lineRule="exact"/>
        <w:rPr>
          <w:rFonts w:hint="eastAsia" w:ascii="黑体" w:hAnsi="黑体" w:eastAsia="黑体" w:cs="黑体"/>
          <w:sz w:val="36"/>
          <w:szCs w:val="36"/>
          <w:lang w:eastAsia="zh-CN"/>
        </w:rPr>
      </w:pPr>
      <w:r>
        <w:rPr>
          <w:rFonts w:hint="eastAsia" w:ascii="黑体" w:hAnsi="宋体" w:eastAsia="黑体" w:cs="黑体"/>
          <w:sz w:val="32"/>
          <w:szCs w:val="32"/>
        </w:rPr>
        <w:t>附件</w:t>
      </w:r>
    </w:p>
    <w:p>
      <w:pPr>
        <w:pStyle w:val="7"/>
        <w:widowControl/>
        <w:spacing w:afterLines="50"/>
        <w:rPr>
          <w:rFonts w:hint="eastAsia" w:ascii="方正小标宋简体" w:hAnsi="方正小标宋简体" w:eastAsia="方正小标宋简体" w:cs="方正小标宋简体"/>
          <w:spacing w:val="-6"/>
          <w:kern w:val="2"/>
          <w:sz w:val="44"/>
          <w:szCs w:val="44"/>
        </w:rPr>
      </w:pPr>
      <w:r>
        <w:rPr>
          <w:rFonts w:hint="eastAsia" w:ascii="方正小标宋简体" w:hAnsi="方正小标宋简体" w:eastAsia="方正小标宋简体" w:cs="方正小标宋简体"/>
          <w:spacing w:val="-6"/>
          <w:kern w:val="2"/>
          <w:sz w:val="44"/>
          <w:szCs w:val="44"/>
          <w:lang w:eastAsia="zh-CN"/>
        </w:rPr>
        <w:t>决定废止或失效的规范性文件目录（1份）</w:t>
      </w:r>
    </w:p>
    <w:tbl>
      <w:tblPr>
        <w:tblStyle w:val="5"/>
        <w:tblW w:w="13431" w:type="dxa"/>
        <w:jc w:val="center"/>
        <w:tblInd w:w="63" w:type="dxa"/>
        <w:tblBorders>
          <w:top w:val="double" w:color="auto" w:sz="2" w:space="0"/>
          <w:left w:val="double" w:color="auto" w:sz="2" w:space="0"/>
          <w:bottom w:val="double" w:color="auto" w:sz="2" w:space="0"/>
          <w:right w:val="double" w:color="auto" w:sz="2" w:space="0"/>
          <w:insideH w:val="single" w:color="auto" w:sz="4" w:space="0"/>
          <w:insideV w:val="single" w:color="auto" w:sz="4" w:space="0"/>
        </w:tblBorders>
        <w:tblLayout w:type="fixed"/>
        <w:tblCellMar>
          <w:top w:w="0" w:type="dxa"/>
          <w:left w:w="108" w:type="dxa"/>
          <w:bottom w:w="0" w:type="dxa"/>
          <w:right w:w="108" w:type="dxa"/>
        </w:tblCellMar>
      </w:tblPr>
      <w:tblGrid>
        <w:gridCol w:w="1012"/>
        <w:gridCol w:w="1179"/>
        <w:gridCol w:w="2906"/>
        <w:gridCol w:w="1180"/>
        <w:gridCol w:w="1221"/>
        <w:gridCol w:w="1223"/>
        <w:gridCol w:w="1280"/>
        <w:gridCol w:w="3430"/>
      </w:tblGrid>
      <w:tr>
        <w:tblPrEx>
          <w:tblBorders>
            <w:top w:val="double" w:color="auto" w:sz="2" w:space="0"/>
            <w:left w:val="double" w:color="auto" w:sz="2" w:space="0"/>
            <w:bottom w:val="double" w:color="auto" w:sz="2" w:space="0"/>
            <w:right w:val="double" w:color="auto" w:sz="2" w:space="0"/>
            <w:insideH w:val="single" w:color="auto" w:sz="4" w:space="0"/>
            <w:insideV w:val="single" w:color="auto" w:sz="4" w:space="0"/>
          </w:tblBorders>
          <w:tblLayout w:type="fixed"/>
        </w:tblPrEx>
        <w:trPr>
          <w:trHeight w:val="414" w:hRule="atLeast"/>
          <w:jc w:val="center"/>
        </w:trPr>
        <w:tc>
          <w:tcPr>
            <w:tcW w:w="1012" w:type="dxa"/>
            <w:vMerge w:val="restart"/>
            <w:tcBorders>
              <w:top w:val="double" w:color="auto" w:sz="2" w:space="0"/>
            </w:tcBorders>
            <w:vAlign w:val="center"/>
          </w:tcPr>
          <w:p>
            <w:pPr>
              <w:jc w:val="center"/>
              <w:rPr>
                <w:rFonts w:hint="eastAsia" w:ascii="黑体" w:hAnsi="黑体" w:eastAsia="黑体" w:cs="黑体"/>
                <w:b w:val="0"/>
                <w:bCs w:val="0"/>
                <w:sz w:val="24"/>
                <w:szCs w:val="24"/>
              </w:rPr>
            </w:pPr>
            <w:r>
              <w:rPr>
                <w:rFonts w:hint="eastAsia" w:ascii="黑体" w:hAnsi="黑体" w:eastAsia="黑体" w:cs="黑体"/>
                <w:b w:val="0"/>
                <w:bCs w:val="0"/>
                <w:sz w:val="24"/>
                <w:szCs w:val="24"/>
              </w:rPr>
              <w:t>序号</w:t>
            </w:r>
          </w:p>
        </w:tc>
        <w:tc>
          <w:tcPr>
            <w:tcW w:w="1179" w:type="dxa"/>
            <w:vMerge w:val="restart"/>
            <w:tcBorders>
              <w:top w:val="double" w:color="auto" w:sz="2" w:space="0"/>
            </w:tcBorders>
            <w:vAlign w:val="center"/>
          </w:tcPr>
          <w:p>
            <w:pPr>
              <w:jc w:val="center"/>
              <w:rPr>
                <w:rFonts w:hint="eastAsia" w:ascii="黑体" w:hAnsi="黑体" w:eastAsia="黑体" w:cs="黑体"/>
                <w:b w:val="0"/>
                <w:bCs w:val="0"/>
                <w:sz w:val="24"/>
                <w:szCs w:val="24"/>
              </w:rPr>
            </w:pPr>
            <w:r>
              <w:rPr>
                <w:rFonts w:hint="eastAsia" w:ascii="黑体" w:hAnsi="黑体" w:eastAsia="黑体" w:cs="黑体"/>
                <w:b w:val="0"/>
                <w:bCs w:val="0"/>
                <w:sz w:val="24"/>
                <w:szCs w:val="24"/>
              </w:rPr>
              <w:t>文号</w:t>
            </w:r>
          </w:p>
        </w:tc>
        <w:tc>
          <w:tcPr>
            <w:tcW w:w="2906" w:type="dxa"/>
            <w:vMerge w:val="restart"/>
            <w:tcBorders>
              <w:top w:val="double" w:color="auto" w:sz="2" w:space="0"/>
            </w:tcBorders>
            <w:vAlign w:val="center"/>
          </w:tcPr>
          <w:p>
            <w:pPr>
              <w:jc w:val="center"/>
              <w:rPr>
                <w:rFonts w:hint="eastAsia" w:ascii="黑体" w:hAnsi="黑体" w:eastAsia="黑体" w:cs="黑体"/>
                <w:b w:val="0"/>
                <w:bCs w:val="0"/>
                <w:sz w:val="24"/>
                <w:szCs w:val="24"/>
              </w:rPr>
            </w:pPr>
            <w:r>
              <w:rPr>
                <w:rFonts w:hint="eastAsia" w:ascii="黑体" w:hAnsi="黑体" w:eastAsia="黑体" w:cs="黑体"/>
                <w:b w:val="0"/>
                <w:bCs w:val="0"/>
                <w:sz w:val="24"/>
                <w:szCs w:val="24"/>
              </w:rPr>
              <w:t>文件名称</w:t>
            </w:r>
          </w:p>
        </w:tc>
        <w:tc>
          <w:tcPr>
            <w:tcW w:w="1180" w:type="dxa"/>
            <w:vMerge w:val="restart"/>
            <w:tcBorders>
              <w:top w:val="double" w:color="auto" w:sz="2" w:space="0"/>
            </w:tcBorders>
            <w:vAlign w:val="center"/>
          </w:tcPr>
          <w:p>
            <w:pPr>
              <w:jc w:val="center"/>
              <w:rPr>
                <w:rFonts w:hint="eastAsia" w:ascii="黑体" w:hAnsi="黑体" w:eastAsia="黑体" w:cs="黑体"/>
                <w:b w:val="0"/>
                <w:bCs w:val="0"/>
                <w:sz w:val="24"/>
                <w:szCs w:val="24"/>
              </w:rPr>
            </w:pPr>
            <w:r>
              <w:rPr>
                <w:rFonts w:hint="eastAsia" w:ascii="黑体" w:hAnsi="黑体" w:eastAsia="黑体" w:cs="黑体"/>
                <w:b w:val="0"/>
                <w:bCs w:val="0"/>
                <w:sz w:val="24"/>
                <w:szCs w:val="24"/>
              </w:rPr>
              <w:t>发布日期</w:t>
            </w:r>
          </w:p>
        </w:tc>
        <w:tc>
          <w:tcPr>
            <w:tcW w:w="3724" w:type="dxa"/>
            <w:gridSpan w:val="3"/>
            <w:tcBorders>
              <w:top w:val="double" w:color="auto" w:sz="2" w:space="0"/>
            </w:tcBorders>
            <w:vAlign w:val="center"/>
          </w:tcPr>
          <w:p>
            <w:pPr>
              <w:jc w:val="center"/>
              <w:rPr>
                <w:rFonts w:hint="eastAsia" w:ascii="黑体" w:hAnsi="黑体" w:eastAsia="黑体" w:cs="黑体"/>
                <w:b w:val="0"/>
                <w:bCs w:val="0"/>
                <w:sz w:val="24"/>
                <w:szCs w:val="24"/>
              </w:rPr>
            </w:pPr>
            <w:r>
              <w:rPr>
                <w:rFonts w:hint="eastAsia" w:ascii="黑体" w:hAnsi="黑体" w:eastAsia="黑体" w:cs="黑体"/>
                <w:b w:val="0"/>
                <w:bCs w:val="0"/>
                <w:sz w:val="24"/>
                <w:szCs w:val="24"/>
              </w:rPr>
              <w:t>清理意见</w:t>
            </w:r>
          </w:p>
        </w:tc>
        <w:tc>
          <w:tcPr>
            <w:tcW w:w="3430" w:type="dxa"/>
            <w:vMerge w:val="restart"/>
            <w:tcBorders>
              <w:top w:val="double" w:color="auto" w:sz="2" w:space="0"/>
            </w:tcBorders>
            <w:vAlign w:val="center"/>
          </w:tcPr>
          <w:p>
            <w:pPr>
              <w:ind w:firstLine="120" w:firstLineChars="50"/>
              <w:jc w:val="center"/>
              <w:rPr>
                <w:rFonts w:hint="eastAsia" w:ascii="黑体" w:hAnsi="黑体" w:eastAsia="黑体" w:cs="黑体"/>
                <w:b w:val="0"/>
                <w:bCs w:val="0"/>
                <w:sz w:val="24"/>
                <w:szCs w:val="24"/>
              </w:rPr>
            </w:pPr>
            <w:r>
              <w:rPr>
                <w:rFonts w:hint="eastAsia" w:ascii="黑体" w:hAnsi="黑体" w:eastAsia="黑体" w:cs="黑体"/>
                <w:b w:val="0"/>
                <w:bCs w:val="0"/>
                <w:sz w:val="24"/>
                <w:szCs w:val="24"/>
              </w:rPr>
              <w:t>理由及依据</w:t>
            </w:r>
          </w:p>
        </w:tc>
      </w:tr>
      <w:tr>
        <w:tblPrEx>
          <w:tblBorders>
            <w:top w:val="double" w:color="auto" w:sz="2" w:space="0"/>
            <w:left w:val="double" w:color="auto" w:sz="2" w:space="0"/>
            <w:bottom w:val="double" w:color="auto" w:sz="2" w:space="0"/>
            <w:right w:val="double" w:color="auto" w:sz="2" w:space="0"/>
            <w:insideH w:val="single" w:color="auto" w:sz="4" w:space="0"/>
            <w:insideV w:val="single" w:color="auto" w:sz="4" w:space="0"/>
          </w:tblBorders>
          <w:tblLayout w:type="fixed"/>
          <w:tblCellMar>
            <w:top w:w="0" w:type="dxa"/>
            <w:left w:w="108" w:type="dxa"/>
            <w:bottom w:w="0" w:type="dxa"/>
            <w:right w:w="108" w:type="dxa"/>
          </w:tblCellMar>
        </w:tblPrEx>
        <w:trPr>
          <w:trHeight w:val="432" w:hRule="atLeast"/>
          <w:jc w:val="center"/>
        </w:trPr>
        <w:tc>
          <w:tcPr>
            <w:tcW w:w="1012" w:type="dxa"/>
            <w:vMerge w:val="continue"/>
            <w:tcBorders>
              <w:top w:val="double" w:color="auto" w:sz="2" w:space="0"/>
            </w:tcBorders>
            <w:vAlign w:val="center"/>
          </w:tcPr>
          <w:p>
            <w:pPr>
              <w:rPr>
                <w:rFonts w:ascii="Times New Roman" w:hAnsi="Times New Roman" w:cs="Times New Roman"/>
                <w:sz w:val="20"/>
                <w:szCs w:val="20"/>
              </w:rPr>
            </w:pPr>
          </w:p>
        </w:tc>
        <w:tc>
          <w:tcPr>
            <w:tcW w:w="1179" w:type="dxa"/>
            <w:vMerge w:val="continue"/>
            <w:tcBorders>
              <w:top w:val="double" w:color="auto" w:sz="2" w:space="0"/>
            </w:tcBorders>
            <w:vAlign w:val="center"/>
          </w:tcPr>
          <w:p>
            <w:pPr>
              <w:rPr>
                <w:rFonts w:ascii="Times New Roman" w:hAnsi="Times New Roman" w:cs="Times New Roman"/>
                <w:sz w:val="20"/>
                <w:szCs w:val="20"/>
              </w:rPr>
            </w:pPr>
          </w:p>
        </w:tc>
        <w:tc>
          <w:tcPr>
            <w:tcW w:w="2906" w:type="dxa"/>
            <w:vMerge w:val="continue"/>
            <w:tcBorders>
              <w:top w:val="double" w:color="auto" w:sz="2" w:space="0"/>
            </w:tcBorders>
            <w:vAlign w:val="center"/>
          </w:tcPr>
          <w:p>
            <w:pPr>
              <w:rPr>
                <w:rFonts w:ascii="Times New Roman" w:hAnsi="Times New Roman" w:cs="Times New Roman"/>
                <w:sz w:val="20"/>
                <w:szCs w:val="20"/>
              </w:rPr>
            </w:pPr>
          </w:p>
        </w:tc>
        <w:tc>
          <w:tcPr>
            <w:tcW w:w="1180" w:type="dxa"/>
            <w:vMerge w:val="continue"/>
            <w:tcBorders>
              <w:top w:val="double" w:color="auto" w:sz="2" w:space="0"/>
            </w:tcBorders>
            <w:vAlign w:val="center"/>
          </w:tcPr>
          <w:p>
            <w:pPr>
              <w:rPr>
                <w:rFonts w:ascii="Times New Roman" w:hAnsi="Times New Roman" w:cs="Times New Roman"/>
                <w:sz w:val="20"/>
                <w:szCs w:val="20"/>
              </w:rPr>
            </w:pPr>
          </w:p>
        </w:tc>
        <w:tc>
          <w:tcPr>
            <w:tcW w:w="1221" w:type="dxa"/>
            <w:vAlign w:val="center"/>
          </w:tcPr>
          <w:p>
            <w:pPr>
              <w:widowControl/>
              <w:jc w:val="center"/>
              <w:rPr>
                <w:rFonts w:hint="eastAsia" w:ascii="黑体" w:hAnsi="黑体" w:eastAsia="黑体" w:cs="黑体"/>
                <w:b w:val="0"/>
                <w:bCs w:val="0"/>
                <w:sz w:val="24"/>
                <w:szCs w:val="24"/>
              </w:rPr>
            </w:pPr>
            <w:r>
              <w:rPr>
                <w:rFonts w:hint="eastAsia" w:ascii="黑体" w:hAnsi="黑体" w:eastAsia="黑体" w:cs="黑体"/>
                <w:b w:val="0"/>
                <w:bCs w:val="0"/>
                <w:sz w:val="24"/>
                <w:szCs w:val="24"/>
              </w:rPr>
              <w:t>保留</w:t>
            </w:r>
          </w:p>
        </w:tc>
        <w:tc>
          <w:tcPr>
            <w:tcW w:w="1223" w:type="dxa"/>
            <w:vAlign w:val="center"/>
          </w:tcPr>
          <w:p>
            <w:pPr>
              <w:widowControl/>
              <w:jc w:val="center"/>
              <w:rPr>
                <w:rFonts w:hint="eastAsia" w:ascii="黑体" w:hAnsi="黑体" w:eastAsia="黑体" w:cs="黑体"/>
                <w:b w:val="0"/>
                <w:bCs w:val="0"/>
                <w:sz w:val="24"/>
                <w:szCs w:val="24"/>
              </w:rPr>
            </w:pPr>
            <w:r>
              <w:rPr>
                <w:rFonts w:hint="eastAsia" w:ascii="黑体" w:hAnsi="黑体" w:eastAsia="黑体" w:cs="黑体"/>
                <w:b w:val="0"/>
                <w:bCs w:val="0"/>
                <w:sz w:val="24"/>
                <w:szCs w:val="24"/>
              </w:rPr>
              <w:t>修改</w:t>
            </w:r>
          </w:p>
        </w:tc>
        <w:tc>
          <w:tcPr>
            <w:tcW w:w="1280" w:type="dxa"/>
            <w:vAlign w:val="center"/>
          </w:tcPr>
          <w:p>
            <w:pPr>
              <w:widowControl/>
              <w:jc w:val="center"/>
              <w:rPr>
                <w:rFonts w:hint="eastAsia" w:ascii="黑体" w:hAnsi="黑体" w:eastAsia="黑体" w:cs="黑体"/>
                <w:b w:val="0"/>
                <w:bCs w:val="0"/>
                <w:sz w:val="24"/>
                <w:szCs w:val="24"/>
              </w:rPr>
            </w:pPr>
            <w:r>
              <w:rPr>
                <w:rFonts w:hint="eastAsia" w:ascii="黑体" w:hAnsi="黑体" w:eastAsia="黑体" w:cs="黑体"/>
                <w:b w:val="0"/>
                <w:bCs w:val="0"/>
                <w:sz w:val="24"/>
                <w:szCs w:val="24"/>
              </w:rPr>
              <w:t>废止</w:t>
            </w:r>
          </w:p>
        </w:tc>
        <w:tc>
          <w:tcPr>
            <w:tcW w:w="3430" w:type="dxa"/>
            <w:vMerge w:val="continue"/>
            <w:tcBorders>
              <w:top w:val="double" w:color="auto" w:sz="2" w:space="0"/>
            </w:tcBorders>
            <w:vAlign w:val="center"/>
          </w:tcPr>
          <w:p>
            <w:pPr>
              <w:rPr>
                <w:rFonts w:ascii="Times New Roman" w:hAnsi="Times New Roman" w:cs="Times New Roman"/>
                <w:sz w:val="20"/>
                <w:szCs w:val="20"/>
              </w:rPr>
            </w:pPr>
          </w:p>
        </w:tc>
      </w:tr>
      <w:tr>
        <w:tblPrEx>
          <w:tblBorders>
            <w:top w:val="double" w:color="auto" w:sz="2" w:space="0"/>
            <w:left w:val="double" w:color="auto" w:sz="2" w:space="0"/>
            <w:bottom w:val="double" w:color="auto" w:sz="2" w:space="0"/>
            <w:right w:val="double" w:color="auto" w:sz="2" w:space="0"/>
            <w:insideH w:val="single" w:color="auto" w:sz="4" w:space="0"/>
            <w:insideV w:val="single" w:color="auto" w:sz="4" w:space="0"/>
          </w:tblBorders>
          <w:tblLayout w:type="fixed"/>
          <w:tblCellMar>
            <w:top w:w="0" w:type="dxa"/>
            <w:left w:w="108" w:type="dxa"/>
            <w:bottom w:w="0" w:type="dxa"/>
            <w:right w:w="108" w:type="dxa"/>
          </w:tblCellMar>
        </w:tblPrEx>
        <w:trPr>
          <w:trHeight w:val="3130" w:hRule="atLeast"/>
          <w:jc w:val="center"/>
        </w:trPr>
        <w:tc>
          <w:tcPr>
            <w:tcW w:w="1012" w:type="dxa"/>
            <w:vAlign w:val="center"/>
          </w:tcPr>
          <w:p>
            <w:pPr>
              <w:widowControl/>
              <w:jc w:val="center"/>
              <w:rPr>
                <w:rFonts w:hint="default" w:ascii="仿宋_GB2312" w:eastAsia="仿宋_GB2312" w:cs="Times New Roman"/>
                <w:lang w:val="en-US" w:eastAsia="zh-CN"/>
              </w:rPr>
            </w:pPr>
            <w:r>
              <w:rPr>
                <w:rFonts w:hint="eastAsia" w:ascii="仿宋_GB2312" w:eastAsia="仿宋_GB2312" w:cs="Times New Roman"/>
                <w:lang w:val="en-US" w:eastAsia="zh-CN"/>
              </w:rPr>
              <w:t>1</w:t>
            </w:r>
          </w:p>
        </w:tc>
        <w:tc>
          <w:tcPr>
            <w:tcW w:w="1179" w:type="dxa"/>
            <w:vAlign w:val="center"/>
          </w:tcPr>
          <w:p>
            <w:pPr>
              <w:widowControl/>
              <w:rPr>
                <w:rFonts w:ascii="仿宋_GB2312" w:eastAsia="仿宋_GB2312" w:cs="Times New Roman"/>
              </w:rPr>
            </w:pPr>
            <w:r>
              <w:rPr>
                <w:rFonts w:hint="eastAsia" w:ascii="仿宋_GB2312" w:eastAsia="仿宋_GB2312" w:cs="Times New Roman"/>
              </w:rPr>
              <w:t>厦翔人社〔202</w:t>
            </w:r>
            <w:r>
              <w:rPr>
                <w:rFonts w:hint="eastAsia" w:ascii="仿宋_GB2312" w:eastAsia="仿宋_GB2312" w:cs="Times New Roman"/>
                <w:lang w:val="en-US" w:eastAsia="zh-CN"/>
              </w:rPr>
              <w:t>0</w:t>
            </w:r>
            <w:r>
              <w:rPr>
                <w:rFonts w:hint="eastAsia" w:ascii="仿宋_GB2312" w:eastAsia="仿宋_GB2312" w:cs="Times New Roman"/>
              </w:rPr>
              <w:t>〕1</w:t>
            </w:r>
            <w:r>
              <w:rPr>
                <w:rFonts w:hint="eastAsia" w:ascii="仿宋_GB2312" w:eastAsia="仿宋_GB2312" w:cs="Times New Roman"/>
                <w:lang w:val="en-US" w:eastAsia="zh-CN"/>
              </w:rPr>
              <w:t>0</w:t>
            </w:r>
            <w:r>
              <w:rPr>
                <w:rFonts w:hint="eastAsia" w:ascii="仿宋_GB2312" w:eastAsia="仿宋_GB2312" w:cs="Times New Roman"/>
              </w:rPr>
              <w:t>号</w:t>
            </w:r>
          </w:p>
        </w:tc>
        <w:tc>
          <w:tcPr>
            <w:tcW w:w="2906" w:type="dxa"/>
            <w:vAlign w:val="center"/>
          </w:tcPr>
          <w:p>
            <w:pPr>
              <w:widowControl/>
              <w:rPr>
                <w:rFonts w:ascii="仿宋_GB2312" w:eastAsia="仿宋_GB2312" w:cs="Times New Roman"/>
              </w:rPr>
            </w:pPr>
            <w:r>
              <w:rPr>
                <w:rFonts w:hint="eastAsia" w:ascii="仿宋_GB2312" w:eastAsia="仿宋_GB2312" w:cs="Times New Roman"/>
              </w:rPr>
              <w:t>厦门市翔安区人力资源和社会保障局 厦门市翔安区总工会关于应对新型冠状病毒感染肺炎疫情解决企业用工难问题的若干措施</w:t>
            </w:r>
          </w:p>
        </w:tc>
        <w:tc>
          <w:tcPr>
            <w:tcW w:w="1180" w:type="dxa"/>
            <w:vAlign w:val="center"/>
          </w:tcPr>
          <w:p>
            <w:pPr>
              <w:widowControl/>
              <w:rPr>
                <w:rFonts w:hint="default" w:ascii="仿宋_GB2312" w:eastAsia="仿宋_GB2312" w:cs="Times New Roman"/>
                <w:lang w:val="en-US" w:eastAsia="zh-CN"/>
              </w:rPr>
            </w:pPr>
            <w:r>
              <w:rPr>
                <w:rFonts w:hint="eastAsia" w:ascii="仿宋_GB2312" w:eastAsia="仿宋_GB2312" w:cs="Times New Roman"/>
              </w:rPr>
              <w:t>202</w:t>
            </w:r>
            <w:r>
              <w:rPr>
                <w:rFonts w:hint="eastAsia" w:ascii="仿宋_GB2312" w:eastAsia="仿宋_GB2312" w:cs="Times New Roman"/>
                <w:lang w:val="en-US" w:eastAsia="zh-CN"/>
              </w:rPr>
              <w:t>0</w:t>
            </w:r>
            <w:r>
              <w:rPr>
                <w:rFonts w:hint="eastAsia" w:ascii="仿宋_GB2312" w:eastAsia="仿宋_GB2312" w:cs="Times New Roman"/>
                <w:lang w:eastAsia="zh-CN"/>
              </w:rPr>
              <w:t>年</w:t>
            </w:r>
            <w:r>
              <w:rPr>
                <w:rFonts w:hint="eastAsia" w:ascii="仿宋_GB2312" w:eastAsia="仿宋_GB2312" w:cs="Times New Roman"/>
                <w:lang w:val="en-US" w:eastAsia="zh-CN"/>
              </w:rPr>
              <w:t>2</w:t>
            </w:r>
            <w:r>
              <w:rPr>
                <w:rFonts w:hint="eastAsia" w:ascii="仿宋_GB2312" w:eastAsia="仿宋_GB2312" w:cs="Times New Roman"/>
                <w:lang w:eastAsia="zh-CN"/>
              </w:rPr>
              <w:t>月</w:t>
            </w:r>
            <w:r>
              <w:rPr>
                <w:rFonts w:hint="eastAsia" w:ascii="仿宋_GB2312" w:eastAsia="仿宋_GB2312" w:cs="Times New Roman"/>
                <w:lang w:val="en-US" w:eastAsia="zh-CN"/>
              </w:rPr>
              <w:t>24日</w:t>
            </w:r>
          </w:p>
        </w:tc>
        <w:tc>
          <w:tcPr>
            <w:tcW w:w="1221" w:type="dxa"/>
            <w:vAlign w:val="center"/>
          </w:tcPr>
          <w:p>
            <w:pPr>
              <w:widowControl/>
              <w:jc w:val="center"/>
              <w:rPr>
                <w:rFonts w:ascii="仿宋_GB2312" w:eastAsia="仿宋_GB2312" w:cs="Times New Roman"/>
              </w:rPr>
            </w:pPr>
          </w:p>
        </w:tc>
        <w:tc>
          <w:tcPr>
            <w:tcW w:w="1223" w:type="dxa"/>
            <w:vAlign w:val="center"/>
          </w:tcPr>
          <w:p>
            <w:pPr>
              <w:widowControl/>
              <w:jc w:val="center"/>
              <w:rPr>
                <w:rFonts w:ascii="仿宋_GB2312" w:eastAsia="仿宋_GB2312" w:cs="Times New Roman"/>
              </w:rPr>
            </w:pPr>
            <w:bookmarkStart w:id="0" w:name="_GoBack"/>
            <w:bookmarkEnd w:id="0"/>
          </w:p>
        </w:tc>
        <w:tc>
          <w:tcPr>
            <w:tcW w:w="1280" w:type="dxa"/>
            <w:vAlign w:val="center"/>
          </w:tcPr>
          <w:p>
            <w:pPr>
              <w:widowControl/>
              <w:jc w:val="center"/>
              <w:rPr>
                <w:rFonts w:ascii="仿宋_GB2312" w:eastAsia="仿宋_GB2312" w:cs="Times New Roman"/>
              </w:rPr>
            </w:pPr>
            <w:r>
              <w:rPr>
                <w:rFonts w:hint="eastAsia" w:ascii="仿宋_GB2312" w:eastAsia="仿宋_GB2312" w:cs="Times New Roman"/>
                <w:lang w:val="en-US" w:eastAsia="zh-CN"/>
              </w:rPr>
              <w:t>废止</w:t>
            </w:r>
          </w:p>
        </w:tc>
        <w:tc>
          <w:tcPr>
            <w:tcW w:w="3430" w:type="dxa"/>
            <w:vAlign w:val="center"/>
          </w:tcPr>
          <w:p>
            <w:pPr>
              <w:widowControl/>
              <w:numPr>
                <w:ilvl w:val="0"/>
                <w:numId w:val="0"/>
              </w:numPr>
              <w:jc w:val="left"/>
              <w:rPr>
                <w:rFonts w:hint="eastAsia" w:ascii="仿宋_GB2312" w:eastAsia="仿宋_GB2312" w:cs="Times New Roman"/>
                <w:lang w:val="en-US" w:eastAsia="zh-CN"/>
              </w:rPr>
            </w:pPr>
            <w:r>
              <w:rPr>
                <w:rFonts w:hint="eastAsia" w:ascii="仿宋_GB2312" w:eastAsia="仿宋_GB2312" w:cs="Times New Roman"/>
                <w:lang w:val="en-US" w:eastAsia="zh-CN"/>
              </w:rPr>
              <w:t>1.《厦门市人力资源和社会保障局等九部门关于做好当前扩岗留工稳就业工作十五条措施的通知》（厦人社〔2021〕34号）、《厦门市翔安区发展和改革局等八部门关于联合印发翔安区关于大力提振市场信心推动经济平稳向好若干措施的通知》（翔发综〔2023〕2号）已有相关替代政策。</w:t>
            </w:r>
          </w:p>
          <w:p>
            <w:pPr>
              <w:widowControl/>
              <w:numPr>
                <w:ilvl w:val="0"/>
                <w:numId w:val="0"/>
              </w:numPr>
              <w:jc w:val="left"/>
              <w:rPr>
                <w:rFonts w:hint="default" w:ascii="仿宋_GB2312" w:eastAsia="仿宋_GB2312" w:cs="Times New Roman"/>
                <w:lang w:val="en-US" w:eastAsia="zh-CN"/>
              </w:rPr>
            </w:pPr>
            <w:r>
              <w:rPr>
                <w:rFonts w:hint="eastAsia" w:ascii="仿宋_GB2312" w:eastAsia="仿宋_GB2312" w:cs="Times New Roman"/>
                <w:lang w:val="en-US" w:eastAsia="zh-CN"/>
              </w:rPr>
              <w:t>2.本《措施》中“返岗车费补贴”时限已过。</w:t>
            </w:r>
          </w:p>
        </w:tc>
      </w:tr>
    </w:tbl>
    <w:p>
      <w:pPr>
        <w:rPr>
          <w:rFonts w:cs="Times New Roman"/>
        </w:rPr>
      </w:pPr>
    </w:p>
    <w:p/>
    <w:sectPr>
      <w:pgSz w:w="15840" w:h="12240" w:orient="landscape"/>
      <w:pgMar w:top="1519" w:right="1270" w:bottom="1236" w:left="1440" w:header="720" w:footer="720" w:gutter="0"/>
      <w:cols w:space="720" w:num="1"/>
      <w:docGrid w:type="lines" w:linePitch="319"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auto"/>
    <w:pitch w:val="default"/>
    <w:sig w:usb0="00000001" w:usb1="080E0000" w:usb2="00000000" w:usb3="00000000" w:csb0="00040000" w:csb1="00000000"/>
  </w:font>
  <w:font w:name="方正小标宋_GBK">
    <w:panose1 w:val="03000509000000000000"/>
    <w:charset w:val="86"/>
    <w:family w:val="auto"/>
    <w:pitch w:val="default"/>
    <w:sig w:usb0="00000001" w:usb1="080E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0685DCD"/>
    <w:rsid w:val="041E371C"/>
    <w:rsid w:val="13467F76"/>
    <w:rsid w:val="1DCC307F"/>
    <w:rsid w:val="23505733"/>
    <w:rsid w:val="2D7D3819"/>
    <w:rsid w:val="2E6151B6"/>
    <w:rsid w:val="2F295844"/>
    <w:rsid w:val="35941302"/>
    <w:rsid w:val="3A105636"/>
    <w:rsid w:val="4C105E9E"/>
    <w:rsid w:val="779E757F"/>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0" w:name="Normal Indent"/>
    <w:lsdException w:uiPriority="0" w:name="footnote text"/>
    <w:lsdException w:uiPriority="0" w:name="annotation text"/>
    <w:lsdException w:qFormat="1" w:uiPriority="99" w:name="header"/>
    <w:lsdException w:qFormat="1" w:uiPriority="99" w:name="footer"/>
    <w:lsdException w:uiPriority="0" w:name="index heading"/>
    <w:lsdException w:qFormat="1" w:uiPriority="35" w:name="caption"/>
    <w:lsdException w:uiPriority="0" w:name="table of figures"/>
    <w:lsdException w:uiPriority="0" w:name="envelope address"/>
    <w:lsdException w:uiPriority="0" w:name="envelope return"/>
    <w:lsdException w:uiPriority="0" w:name="footnote reference"/>
    <w:lsdException w:uiPriority="0" w:name="annotation reference"/>
    <w:lsdException w:uiPriority="0" w:name="line number"/>
    <w:lsdException w:uiPriority="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uiPriority="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10" w:semiHidden="0" w:name="Title"/>
    <w:lsdException w:uiPriority="0" w:name="Closing"/>
    <w:lsdException w:uiPriority="0" w:name="Signature"/>
    <w:lsdException w:uiPriority="1" w:name="Default Paragraph Font"/>
    <w:lsdException w:uiPriority="0" w:name="Body Text"/>
    <w:lsdException w:uiPriority="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11" w:semiHidden="0" w:name="Subtitle"/>
    <w:lsdException w:uiPriority="0" w:name="Salutation"/>
    <w:lsdException w:qFormat="1" w:unhideWhenUsed="0" w:uiPriority="99" w:semiHidden="0" w:name="Date"/>
    <w:lsdException w:uiPriority="0" w:name="Body Text First Indent"/>
    <w:lsdException w:uiPriority="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uiPriority="0" w:name="Hyperlink"/>
    <w:lsdException w:uiPriority="0" w:name="FollowedHyperlink"/>
    <w:lsdException w:qFormat="1" w:unhideWhenUsed="0" w:uiPriority="22" w:semiHidden="0" w:name="Strong"/>
    <w:lsdException w:qFormat="1" w:unhideWhenUsed="0" w:uiPriority="20" w:semiHidden="0" w:name="Emphasis"/>
    <w:lsdException w:uiPriority="0" w:name="Document Map"/>
    <w:lsdException w:uiPriority="0" w:name="Plain Text"/>
    <w:lsdException w:uiPriority="0" w:name="E-mail Signature"/>
    <w:lsdException w:uiPriority="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99" w:name="Normal Table"/>
    <w:lsdException w:uiPriority="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0" w:name="Balloon Text"/>
    <w:lsdException w:uiPriority="99"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Calibri"/>
      <w:kern w:val="2"/>
      <w:sz w:val="21"/>
      <w:szCs w:val="21"/>
      <w:lang w:val="en-US" w:eastAsia="zh-CN" w:bidi="ar-SA"/>
    </w:rPr>
  </w:style>
  <w:style w:type="character" w:default="1" w:styleId="6">
    <w:name w:val="Default Paragraph Font"/>
    <w:semiHidden/>
    <w:unhideWhenUsed/>
    <w:uiPriority w:val="1"/>
  </w:style>
  <w:style w:type="table" w:default="1" w:styleId="5">
    <w:name w:val="Normal Table"/>
    <w:semiHidden/>
    <w:unhideWhenUsed/>
    <w:qFormat/>
    <w:uiPriority w:val="99"/>
    <w:tblPr>
      <w:tblLayout w:type="fixed"/>
      <w:tblCellMar>
        <w:top w:w="0" w:type="dxa"/>
        <w:left w:w="108" w:type="dxa"/>
        <w:bottom w:w="0" w:type="dxa"/>
        <w:right w:w="108" w:type="dxa"/>
      </w:tblCellMar>
    </w:tblPr>
  </w:style>
  <w:style w:type="paragraph" w:styleId="2">
    <w:name w:val="Date"/>
    <w:basedOn w:val="1"/>
    <w:next w:val="1"/>
    <w:link w:val="9"/>
    <w:qFormat/>
    <w:uiPriority w:val="99"/>
    <w:rPr>
      <w:rFonts w:ascii="仿宋_GB2312" w:hAnsi="Calibri" w:eastAsia="仿宋_GB2312" w:cs="仿宋_GB2312"/>
      <w:sz w:val="32"/>
      <w:szCs w:val="32"/>
    </w:rPr>
  </w:style>
  <w:style w:type="paragraph" w:styleId="3">
    <w:name w:val="footer"/>
    <w:basedOn w:val="1"/>
    <w:link w:val="11"/>
    <w:semiHidden/>
    <w:unhideWhenUsed/>
    <w:qFormat/>
    <w:uiPriority w:val="99"/>
    <w:pPr>
      <w:tabs>
        <w:tab w:val="center" w:pos="4153"/>
        <w:tab w:val="right" w:pos="8306"/>
      </w:tabs>
      <w:snapToGrid w:val="0"/>
      <w:jc w:val="left"/>
    </w:pPr>
    <w:rPr>
      <w:sz w:val="18"/>
      <w:szCs w:val="18"/>
    </w:rPr>
  </w:style>
  <w:style w:type="paragraph" w:styleId="4">
    <w:name w:val="header"/>
    <w:basedOn w:val="1"/>
    <w:link w:val="10"/>
    <w:semiHidden/>
    <w:unhideWhenUsed/>
    <w:qFormat/>
    <w:uiPriority w:val="99"/>
    <w:pPr>
      <w:pBdr>
        <w:bottom w:val="single" w:color="auto" w:sz="6" w:space="1"/>
      </w:pBdr>
      <w:tabs>
        <w:tab w:val="center" w:pos="4153"/>
        <w:tab w:val="right" w:pos="8306"/>
      </w:tabs>
      <w:snapToGrid w:val="0"/>
      <w:jc w:val="center"/>
    </w:pPr>
    <w:rPr>
      <w:sz w:val="18"/>
      <w:szCs w:val="18"/>
    </w:rPr>
  </w:style>
  <w:style w:type="paragraph" w:customStyle="1" w:styleId="7">
    <w:name w:val="标题1"/>
    <w:basedOn w:val="1"/>
    <w:next w:val="1"/>
    <w:qFormat/>
    <w:uiPriority w:val="99"/>
    <w:pPr>
      <w:autoSpaceDE w:val="0"/>
      <w:autoSpaceDN w:val="0"/>
      <w:snapToGrid w:val="0"/>
      <w:spacing w:line="700" w:lineRule="atLeast"/>
      <w:jc w:val="center"/>
    </w:pPr>
    <w:rPr>
      <w:rFonts w:ascii="Times New Roman" w:hAnsi="Times New Roman" w:eastAsia="方正小标宋_GBK" w:cs="Times New Roman"/>
      <w:kern w:val="0"/>
      <w:sz w:val="44"/>
      <w:szCs w:val="44"/>
    </w:rPr>
  </w:style>
  <w:style w:type="character" w:customStyle="1" w:styleId="8">
    <w:name w:val="日期 Char Char"/>
    <w:basedOn w:val="6"/>
    <w:link w:val="2"/>
    <w:qFormat/>
    <w:uiPriority w:val="99"/>
    <w:rPr>
      <w:rFonts w:ascii="仿宋_GB2312" w:eastAsia="仿宋_GB2312" w:cs="仿宋_GB2312"/>
      <w:sz w:val="32"/>
      <w:szCs w:val="32"/>
    </w:rPr>
  </w:style>
  <w:style w:type="character" w:customStyle="1" w:styleId="9">
    <w:name w:val="日期 Char1"/>
    <w:basedOn w:val="6"/>
    <w:link w:val="2"/>
    <w:qFormat/>
    <w:uiPriority w:val="99"/>
    <w:rPr>
      <w:rFonts w:ascii="Calibri" w:hAnsi="Calibri" w:eastAsia="宋体" w:cs="Calibri"/>
      <w:szCs w:val="21"/>
    </w:rPr>
  </w:style>
  <w:style w:type="character" w:customStyle="1" w:styleId="10">
    <w:name w:val="页眉 Char Char"/>
    <w:basedOn w:val="6"/>
    <w:link w:val="4"/>
    <w:qFormat/>
    <w:uiPriority w:val="99"/>
    <w:rPr>
      <w:rFonts w:ascii="Calibri" w:hAnsi="Calibri" w:eastAsia="宋体" w:cs="Calibri"/>
      <w:sz w:val="18"/>
      <w:szCs w:val="18"/>
    </w:rPr>
  </w:style>
  <w:style w:type="character" w:customStyle="1" w:styleId="11">
    <w:name w:val="页脚 Char Char"/>
    <w:basedOn w:val="6"/>
    <w:link w:val="3"/>
    <w:qFormat/>
    <w:uiPriority w:val="99"/>
    <w:rPr>
      <w:rFonts w:ascii="Calibri" w:hAnsi="Calibri" w:eastAsia="宋体" w:cs="Calibri"/>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Pages>
  <Words>40</Words>
  <Characters>234</Characters>
  <Lines>1</Lines>
  <Paragraphs>1</Paragraphs>
  <TotalTime>5</TotalTime>
  <ScaleCrop>false</ScaleCrop>
  <LinksUpToDate>false</LinksUpToDate>
  <CharactersWithSpaces>0</CharactersWithSpaces>
  <Application>WPS Office_11.8.2.8276_F1E327BC-269C-435d-A152-05C5408002CA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2022-03-25T09:29:00Z</dcterms:created>
  <dc:creator>邱立</dc:creator>
  <cp:lastModifiedBy>Administrator</cp:lastModifiedBy>
  <dcterms:modified xsi:type="dcterms:W3CDTF">2023-04-14T03:11:14Z</dcterms:modified>
  <dc:title>附件2</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2052-11.8.2.8276</vt:lpwstr>
  </property>
</Properties>
</file>