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880" w:firstLineChars="200"/>
        <w:jc w:val="center"/>
        <w:textAlignment w:val="auto"/>
        <w:rPr>
          <w:rFonts w:hint="eastAsia" w:ascii="方正小标宋_GBK" w:hAnsi="方正小标宋_GBK" w:eastAsia="方正小标宋_GBK" w:cs="方正小标宋_GBK"/>
          <w:b w:val="0"/>
          <w:bCs w:val="0"/>
          <w:color w:val="000000" w:themeColor="text1"/>
          <w:kern w:val="2"/>
          <w:sz w:val="44"/>
          <w:szCs w:val="44"/>
          <w14:textFill>
            <w14:solidFill>
              <w14:schemeClr w14:val="tx1"/>
            </w14:solidFill>
          </w14:textFill>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880" w:firstLineChars="200"/>
        <w:jc w:val="center"/>
        <w:textAlignment w:val="auto"/>
        <w:rPr>
          <w:rFonts w:hint="eastAsia" w:ascii="方正小标宋_GBK" w:hAnsi="方正小标宋_GBK" w:eastAsia="方正小标宋_GBK" w:cs="方正小标宋_GBK"/>
          <w:b w:val="0"/>
          <w:bCs w:val="0"/>
          <w:color w:val="000000" w:themeColor="text1"/>
          <w:kern w:val="2"/>
          <w:sz w:val="44"/>
          <w:szCs w:val="44"/>
          <w14:textFill>
            <w14:solidFill>
              <w14:schemeClr w14:val="tx1"/>
            </w14:solidFill>
          </w14:textFill>
        </w:rPr>
      </w:pPr>
    </w:p>
    <w:p>
      <w:pPr>
        <w:keepNext w:val="0"/>
        <w:keepLines w:val="0"/>
        <w:pageBreakBefore w:val="0"/>
        <w:widowControl/>
        <w:shd w:val="clear" w:color="auto" w:fill="FFFFFF"/>
        <w:kinsoku/>
        <w:wordWrap/>
        <w:overflowPunct/>
        <w:topLinePunct w:val="0"/>
        <w:autoSpaceDE/>
        <w:autoSpaceDN/>
        <w:bidi w:val="0"/>
        <w:adjustRightInd/>
        <w:snapToGrid/>
        <w:spacing w:after="157" w:afterLines="50" w:line="560" w:lineRule="exact"/>
        <w:ind w:firstLine="880" w:firstLineChars="200"/>
        <w:jc w:val="center"/>
        <w:textAlignment w:val="auto"/>
        <w:rPr>
          <w:rFonts w:hint="eastAsia" w:ascii="方正小标宋简体" w:hAnsi="方正小标宋简体" w:eastAsia="方正小标宋简体" w:cs="方正小标宋简体"/>
          <w:b w:val="0"/>
          <w:bCs w:val="0"/>
          <w:color w:val="000000" w:themeColor="text1"/>
          <w:kern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kern w:val="2"/>
          <w:sz w:val="44"/>
          <w:szCs w:val="44"/>
          <w14:textFill>
            <w14:solidFill>
              <w14:schemeClr w14:val="tx1"/>
            </w14:solidFill>
          </w14:textFill>
        </w:rPr>
        <w:t>厦门市翔安区发展和改革局</w:t>
      </w:r>
    </w:p>
    <w:p>
      <w:pPr>
        <w:keepNext w:val="0"/>
        <w:keepLines w:val="0"/>
        <w:pageBreakBefore w:val="0"/>
        <w:widowControl/>
        <w:shd w:val="clear" w:color="auto" w:fill="FFFFFF"/>
        <w:kinsoku/>
        <w:wordWrap/>
        <w:overflowPunct/>
        <w:topLinePunct w:val="0"/>
        <w:autoSpaceDE/>
        <w:autoSpaceDN/>
        <w:bidi w:val="0"/>
        <w:adjustRightInd/>
        <w:snapToGrid/>
        <w:spacing w:after="313" w:afterLines="100" w:line="560" w:lineRule="exact"/>
        <w:ind w:firstLine="880" w:firstLineChars="200"/>
        <w:jc w:val="center"/>
        <w:textAlignment w:val="auto"/>
        <w:rPr>
          <w:rFonts w:hint="eastAsia" w:ascii="方正小标宋简体" w:hAnsi="方正小标宋简体" w:eastAsia="方正小标宋简体" w:cs="方正小标宋简体"/>
          <w:b w:val="0"/>
          <w:bCs w:val="0"/>
          <w:color w:val="000000" w:themeColor="text1"/>
          <w:kern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kern w:val="2"/>
          <w:sz w:val="44"/>
          <w:szCs w:val="44"/>
          <w14:textFill>
            <w14:solidFill>
              <w14:schemeClr w14:val="tx1"/>
            </w14:solidFill>
          </w14:textFill>
        </w:rPr>
        <w:t>202</w:t>
      </w:r>
      <w:r>
        <w:rPr>
          <w:rFonts w:hint="eastAsia" w:ascii="方正小标宋简体" w:hAnsi="方正小标宋简体" w:eastAsia="方正小标宋简体" w:cs="方正小标宋简体"/>
          <w:b w:val="0"/>
          <w:bCs w:val="0"/>
          <w:color w:val="000000" w:themeColor="text1"/>
          <w:kern w:val="2"/>
          <w:sz w:val="44"/>
          <w:szCs w:val="44"/>
          <w:lang w:val="en-US"/>
          <w14:textFill>
            <w14:solidFill>
              <w14:schemeClr w14:val="tx1"/>
            </w14:solidFill>
          </w14:textFill>
        </w:rPr>
        <w:t>1</w:t>
      </w:r>
      <w:r>
        <w:rPr>
          <w:rFonts w:hint="eastAsia" w:ascii="方正小标宋简体" w:hAnsi="方正小标宋简体" w:eastAsia="方正小标宋简体" w:cs="方正小标宋简体"/>
          <w:b w:val="0"/>
          <w:bCs w:val="0"/>
          <w:color w:val="000000" w:themeColor="text1"/>
          <w:kern w:val="2"/>
          <w:sz w:val="44"/>
          <w:szCs w:val="44"/>
          <w14:textFill>
            <w14:solidFill>
              <w14:schemeClr w14:val="tx1"/>
            </w14:solidFill>
          </w14:textFill>
        </w:rPr>
        <w:t>年政府信息公开工作年度报告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313" w:afterLines="100" w:afterAutospacing="0" w:line="560" w:lineRule="exact"/>
        <w:ind w:right="0" w:firstLine="640" w:firstLineChars="200"/>
        <w:jc w:val="left"/>
        <w:textAlignment w:val="auto"/>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根据《中华人民共和国政府信息公开条例》的规定，向社会公布2021年信息公开工作年度报告。本报告主要由政府信息公开工作总体情况、主动公开政府信息情况、收到和处理政府信息公开申请情况、政府信息公开行政复议、行政诉讼情况、存在的主要问题及改进情况和其他需要报告的事项等六部分组成。本报告中所列数据的统计时限为2021年1月1日至2021年12月31日。本报告可通过翔安区政府门户网站（www.xiangan.gov.cn）查阅或下载。如需咨询，请与厦门市翔</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安区发展和改革局办公室联系（地址：厦门市翔安区</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祥福路2005号区政府大院</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2号楼407室；邮编：</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361102</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；电话：</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7889958</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；传真：</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7889997</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）；电子邮箱</w:t>
      </w:r>
      <w:r>
        <w:rPr>
          <w:rFonts w:hint="eastAsia" w:ascii="仿宋_GB2312" w:hAnsi="仿宋_GB2312" w:eastAsia="仿宋_GB2312" w:cs="仿宋_GB2312"/>
          <w:i w:val="0"/>
          <w:caps w:val="0"/>
          <w:color w:val="000000" w:themeColor="text1"/>
          <w:spacing w:val="0"/>
          <w:sz w:val="32"/>
          <w:szCs w:val="32"/>
          <w:shd w:val="clear" w:fill="FFFFFF"/>
          <w:lang w:eastAsia="zh-CN"/>
          <w14:textFill>
            <w14:solidFill>
              <w14:schemeClr w14:val="tx1"/>
            </w14:solidFill>
          </w14:textFill>
        </w:rPr>
        <w:t>：（</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xafgj@</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xm</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.gov.cn）。</w:t>
      </w:r>
    </w:p>
    <w:p>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157" w:afterLines="50" w:afterAutospacing="0" w:line="560" w:lineRule="exact"/>
        <w:ind w:left="960" w:leftChars="0" w:right="0" w:firstLine="0" w:firstLineChars="0"/>
        <w:jc w:val="left"/>
        <w:textAlignment w:val="auto"/>
        <w:rPr>
          <w:rFonts w:hint="eastAsia" w:ascii="黑体" w:hAnsi="黑体" w:eastAsia="黑体" w:cs="黑体"/>
          <w:b/>
          <w:i w:val="0"/>
          <w:caps w:val="0"/>
          <w:color w:val="000000" w:themeColor="text1"/>
          <w:spacing w:val="0"/>
          <w:sz w:val="32"/>
          <w:szCs w:val="32"/>
          <w:shd w:val="clear" w:fill="FFFFFF"/>
          <w14:textFill>
            <w14:solidFill>
              <w14:schemeClr w14:val="tx1"/>
            </w14:solidFill>
          </w14:textFill>
        </w:rPr>
      </w:pPr>
      <w:r>
        <w:rPr>
          <w:rFonts w:hint="eastAsia" w:ascii="黑体" w:hAnsi="黑体" w:eastAsia="黑体" w:cs="黑体"/>
          <w:b/>
          <w:i w:val="0"/>
          <w:caps w:val="0"/>
          <w:color w:val="000000" w:themeColor="text1"/>
          <w:spacing w:val="0"/>
          <w:sz w:val="32"/>
          <w:szCs w:val="32"/>
          <w:shd w:val="clear" w:fill="FFFFFF"/>
          <w14:textFill>
            <w14:solidFill>
              <w14:schemeClr w14:val="tx1"/>
            </w14:solidFill>
          </w14:textFill>
        </w:rPr>
        <w:t>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2021年，翔安区发改局高度重视政务公开工作，认真按照文件要求，积极、有序、稳妥推进政务信息公开的各项工作。现报告如下：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pPr>
      <w:r>
        <w:rPr>
          <w:rFonts w:hint="eastAsia" w:ascii="楷体" w:hAnsi="楷体" w:eastAsia="楷体" w:cs="楷体"/>
          <w:b/>
          <w:i w:val="0"/>
          <w:caps w:val="0"/>
          <w:color w:val="000000" w:themeColor="text1"/>
          <w:spacing w:val="0"/>
          <w:sz w:val="32"/>
          <w:szCs w:val="32"/>
          <w:shd w:val="clear" w:fill="FFFFFF"/>
          <w14:textFill>
            <w14:solidFill>
              <w14:schemeClr w14:val="tx1"/>
            </w14:solidFill>
          </w14:textFill>
        </w:rPr>
        <w:t>（</w:t>
      </w:r>
      <w:r>
        <w:rPr>
          <w:rFonts w:hint="eastAsia" w:ascii="楷体" w:hAnsi="楷体" w:eastAsia="楷体" w:cs="楷体"/>
          <w:b/>
          <w:i w:val="0"/>
          <w:caps w:val="0"/>
          <w:color w:val="000000" w:themeColor="text1"/>
          <w:spacing w:val="0"/>
          <w:sz w:val="32"/>
          <w:szCs w:val="32"/>
          <w:shd w:val="clear" w:fill="FFFFFF"/>
          <w:lang w:val="en-US" w:eastAsia="zh-CN"/>
          <w14:textFill>
            <w14:solidFill>
              <w14:schemeClr w14:val="tx1"/>
            </w14:solidFill>
          </w14:textFill>
        </w:rPr>
        <w:t>一</w:t>
      </w:r>
      <w:r>
        <w:rPr>
          <w:rFonts w:hint="eastAsia" w:ascii="楷体" w:hAnsi="楷体" w:eastAsia="楷体" w:cs="楷体"/>
          <w:b/>
          <w:i w:val="0"/>
          <w:caps w:val="0"/>
          <w:color w:val="000000" w:themeColor="text1"/>
          <w:spacing w:val="0"/>
          <w:sz w:val="32"/>
          <w:szCs w:val="32"/>
          <w:shd w:val="clear" w:fill="FFFFFF"/>
          <w14:textFill>
            <w14:solidFill>
              <w14:schemeClr w14:val="tx1"/>
            </w14:solidFill>
          </w14:textFill>
        </w:rPr>
        <w:t>）主动信息公开情况。</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坚持“公开为常态、不公开为例外”，按要求将权责清单、机构职能目录、政府采购、年度报告、重大决策、重大项目建设、政策法规、工作制度、工作动态、行政审批事项、人事任免、预决算等相关民政事务及时在区政府网站公布。</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202</w:t>
      </w:r>
      <w:r>
        <w:rPr>
          <w:rFonts w:hint="default" w:ascii="仿宋_GB2312" w:hAnsi="仿宋_GB2312" w:eastAsia="仿宋_GB2312" w:cs="仿宋_GB2312"/>
          <w:i w:val="0"/>
          <w:caps w:val="0"/>
          <w:color w:val="000000" w:themeColor="text1"/>
          <w:spacing w:val="0"/>
          <w:sz w:val="32"/>
          <w:szCs w:val="32"/>
          <w:shd w:val="clear" w:fill="FFFFFF"/>
          <w:lang w:val="en-US"/>
          <w14:textFill>
            <w14:solidFill>
              <w14:schemeClr w14:val="tx1"/>
            </w14:solidFill>
          </w14:textFill>
        </w:rPr>
        <w:t>1</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年共主动公开信息</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3</w:t>
      </w:r>
      <w:r>
        <w:rPr>
          <w:rFonts w:hint="default"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81</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条</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（正式发文）</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，其中行政事业性收费类</w:t>
      </w:r>
      <w:r>
        <w:rPr>
          <w:rFonts w:hint="default" w:ascii="仿宋_GB2312" w:hAnsi="仿宋_GB2312" w:eastAsia="仿宋_GB2312" w:cs="仿宋_GB2312"/>
          <w:i w:val="0"/>
          <w:caps w:val="0"/>
          <w:color w:val="000000" w:themeColor="text1"/>
          <w:spacing w:val="0"/>
          <w:sz w:val="32"/>
          <w:szCs w:val="32"/>
          <w:shd w:val="clear" w:fill="FFFFFF"/>
          <w:lang w:val="en-US"/>
          <w14:textFill>
            <w14:solidFill>
              <w14:schemeClr w14:val="tx1"/>
            </w14:solidFill>
          </w14:textFill>
        </w:rPr>
        <w:t>1</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条、人事任免</w:t>
      </w:r>
      <w:r>
        <w:rPr>
          <w:rFonts w:hint="default" w:ascii="仿宋_GB2312" w:hAnsi="仿宋_GB2312" w:eastAsia="仿宋_GB2312" w:cs="仿宋_GB2312"/>
          <w:i w:val="0"/>
          <w:caps w:val="0"/>
          <w:color w:val="000000" w:themeColor="text1"/>
          <w:spacing w:val="0"/>
          <w:sz w:val="32"/>
          <w:szCs w:val="32"/>
          <w:shd w:val="clear" w:fill="FFFFFF"/>
          <w:lang w:val="en-US"/>
          <w14:textFill>
            <w14:solidFill>
              <w14:schemeClr w14:val="tx1"/>
            </w14:solidFill>
          </w14:textFill>
        </w:rPr>
        <w:t>2</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条、行政审批类</w:t>
      </w:r>
      <w:r>
        <w:rPr>
          <w:rFonts w:hint="default"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279</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条、</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项目备案</w:t>
      </w:r>
      <w:r>
        <w:rPr>
          <w:rFonts w:hint="default"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99</w:t>
      </w:r>
      <w:r>
        <w:rPr>
          <w:rFonts w:hint="eastAsia" w:ascii="仿宋_GB2312" w:hAnsi="仿宋_GB2312" w:eastAsia="仿宋_GB2312" w:cs="仿宋_GB2312"/>
          <w:i w:val="0"/>
          <w:caps w:val="0"/>
          <w:color w:val="000000" w:themeColor="text1"/>
          <w:spacing w:val="0"/>
          <w:sz w:val="32"/>
          <w:szCs w:val="32"/>
          <w:shd w:val="clear" w:fill="FFFFFF"/>
          <w14:textFill>
            <w14:solidFill>
              <w14:schemeClr w14:val="tx1"/>
            </w14:solidFill>
          </w14:textFill>
        </w:rPr>
        <w:t>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right="0"/>
        <w:jc w:val="left"/>
        <w:textAlignment w:val="auto"/>
        <w:rPr>
          <w:rFonts w:hint="eastAsia"/>
          <w:sz w:val="32"/>
          <w:szCs w:val="32"/>
        </w:rPr>
      </w:pPr>
      <w:r>
        <w:drawing>
          <wp:inline distT="0" distB="0" distL="114300" distR="114300">
            <wp:extent cx="5269230" cy="3552190"/>
            <wp:effectExtent l="7620" t="7620" r="19050" b="21590"/>
            <wp:docPr id="1"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pPr>
      <w:r>
        <w:rPr>
          <w:rFonts w:hint="eastAsia" w:ascii="楷体" w:hAnsi="楷体" w:eastAsia="楷体" w:cs="楷体"/>
          <w:b/>
          <w:i w:val="0"/>
          <w:caps w:val="0"/>
          <w:color w:val="000000" w:themeColor="text1"/>
          <w:spacing w:val="0"/>
          <w:sz w:val="32"/>
          <w:szCs w:val="32"/>
          <w:shd w:val="clear" w:fill="FFFFFF"/>
          <w:lang w:val="en-US" w:eastAsia="zh-CN"/>
          <w14:textFill>
            <w14:solidFill>
              <w14:schemeClr w14:val="tx1"/>
            </w14:solidFill>
          </w14:textFill>
        </w:rPr>
        <w:t>（二）依申请公开情况。</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区发改局认真落实政府信息公开的新要求，不断规范政府信息公开申请办理工作，完善政府信息公开指南，在区政府网站主动公开“依申请公开”的受理机构、申请人应提供信息、结果查询、流程图、申请表等事项，不断规范政府信息公开申请办理工作。从严把握不予公开范围，对法定不予公开条款坚持最小化适用原则。今年我局依申请公开无法提供（本机关不掌握相关政府信息）</w:t>
      </w:r>
      <w:r>
        <w:rPr>
          <w:rFonts w:hint="default"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9</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件，予以公开</w:t>
      </w:r>
      <w:r>
        <w:rPr>
          <w:rFonts w:hint="default"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1</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件，均按时答复，不存在有关政府信息公开行政复议和行政诉讼情况。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楷体" w:hAnsi="楷体" w:eastAsia="楷体" w:cs="楷体"/>
          <w:b/>
          <w:i w:val="0"/>
          <w:caps w:val="0"/>
          <w:color w:val="000000" w:themeColor="text1"/>
          <w:spacing w:val="0"/>
          <w:sz w:val="32"/>
          <w:szCs w:val="32"/>
          <w:shd w:val="clear" w:fill="FFFFFF"/>
          <w:lang w:val="en-US" w:eastAsia="zh-CN"/>
          <w14:textFill>
            <w14:solidFill>
              <w14:schemeClr w14:val="tx1"/>
            </w14:solidFill>
          </w14:textFill>
        </w:rPr>
        <w:t>（三）政府信息管理情况。</w:t>
      </w:r>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积极参与区政府网站“在线访谈”。区发改局把握“项目建设”主要方向，认真做好政策解读，2021年4月15日，在区政府网站解读关于《2021年翔安区财政投融资项目计划安排情况》</w:t>
      </w:r>
      <w:bookmarkStart w:id="0" w:name="_GoBack"/>
      <w:bookmarkEnd w:id="0"/>
      <w:r>
        <w:rPr>
          <w:rFonts w:hint="eastAsia" w:ascii="仿宋_GB2312" w:hAnsi="仿宋_GB2312" w:eastAsia="仿宋_GB2312" w:cs="仿宋_GB2312"/>
          <w:i w:val="0"/>
          <w:caps w:val="0"/>
          <w:color w:val="000000" w:themeColor="text1"/>
          <w:spacing w:val="0"/>
          <w:sz w:val="32"/>
          <w:szCs w:val="32"/>
          <w:shd w:val="clear" w:fill="FFFFFF"/>
          <w:lang w:val="en-US" w:eastAsia="zh-CN"/>
          <w14:textFill>
            <w14:solidFill>
              <w14:schemeClr w14:val="tx1"/>
            </w14:solidFill>
          </w14:textFill>
        </w:rPr>
        <w:t>。2021年我区全面贯彻落实省市关于积极扩大有效投资的总体部署，以项目谋划夯实投资基础、以项目攻坚促进投资</w:t>
      </w:r>
      <w:r>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t>增长、以服务保障激发投资活力，区级财政投融项目计划聚焦四大行动，并形成滚动接续的项目支撑。2021年4月15日，在区政府网站翔安区财政投融资项目建设相关情况网上调查和2021年翔安区财政投融资项目建设计划编制意见征集活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right="0"/>
        <w:jc w:val="left"/>
        <w:textAlignment w:val="auto"/>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drawing>
          <wp:inline distT="0" distB="0" distL="114300" distR="114300">
            <wp:extent cx="5577840" cy="3775710"/>
            <wp:effectExtent l="0" t="0" r="3810" b="15240"/>
            <wp:docPr id="11" name="图片 11" descr="16412865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1641286517(1)"/>
                    <pic:cNvPicPr>
                      <a:picLocks noChangeAspect="1"/>
                    </pic:cNvPicPr>
                  </pic:nvPicPr>
                  <pic:blipFill>
                    <a:blip r:embed="rId5"/>
                    <a:stretch>
                      <a:fillRect/>
                    </a:stretch>
                  </pic:blipFill>
                  <pic:spPr>
                    <a:xfrm>
                      <a:off x="0" y="0"/>
                      <a:ext cx="5577840" cy="3775710"/>
                    </a:xfrm>
                    <a:prstGeom prst="rect">
                      <a:avLst/>
                    </a:prstGeom>
                  </pic:spPr>
                </pic:pic>
              </a:graphicData>
            </a:graphic>
          </wp:inline>
        </w:drawing>
      </w:r>
    </w:p>
    <w:p>
      <w:pPr>
        <w:widowControl w:val="0"/>
        <w:autoSpaceDE w:val="0"/>
        <w:autoSpaceDN w:val="0"/>
        <w:spacing w:line="560" w:lineRule="exact"/>
        <w:ind w:firstLine="643" w:firstLineChars="200"/>
        <w:rPr>
          <w:rFonts w:hint="eastAsia" w:ascii="仿宋_GB2312" w:hAnsi="仿宋_GB2312" w:eastAsia="仿宋_GB2312" w:cs="仿宋_GB2312"/>
          <w:sz w:val="32"/>
          <w:szCs w:val="32"/>
        </w:rPr>
      </w:pPr>
      <w:r>
        <w:rPr>
          <w:rFonts w:hint="eastAsia" w:ascii="楷体" w:hAnsi="楷体" w:eastAsia="楷体" w:cs="楷体"/>
          <w:b/>
          <w:i w:val="0"/>
          <w:caps w:val="0"/>
          <w:color w:val="000000" w:themeColor="text1"/>
          <w:spacing w:val="0"/>
          <w:kern w:val="0"/>
          <w:sz w:val="32"/>
          <w:szCs w:val="32"/>
          <w:shd w:val="clear" w:fill="FFFFFF"/>
          <w:lang w:val="en-US" w:eastAsia="zh-CN" w:bidi="ar"/>
          <w14:textFill>
            <w14:solidFill>
              <w14:schemeClr w14:val="tx1"/>
            </w14:solidFill>
          </w14:textFill>
        </w:rPr>
        <w:t>（四）政府信息公开平台建设情况。</w:t>
      </w:r>
      <w:r>
        <w:rPr>
          <w:rFonts w:hint="eastAsia" w:ascii="仿宋_GB2312" w:hAnsi="仿宋_GB2312" w:eastAsia="仿宋_GB2312" w:cs="仿宋_GB2312"/>
          <w:sz w:val="32"/>
          <w:szCs w:val="32"/>
        </w:rPr>
        <w:t>充分利用“信用翔安”网站，实时更新双公示信息，截至12月</w:t>
      </w:r>
      <w:r>
        <w:rPr>
          <w:rFonts w:hint="default" w:ascii="仿宋_GB2312" w:hAnsi="仿宋_GB2312" w:eastAsia="仿宋_GB2312" w:cs="仿宋_GB2312"/>
          <w:sz w:val="32"/>
          <w:szCs w:val="32"/>
          <w:lang w:val="en-US"/>
        </w:rPr>
        <w:t>31</w:t>
      </w:r>
      <w:r>
        <w:rPr>
          <w:rFonts w:hint="eastAsia" w:ascii="仿宋_GB2312" w:hAnsi="仿宋_GB2312" w:eastAsia="仿宋_GB2312" w:cs="仿宋_GB2312"/>
          <w:sz w:val="32"/>
          <w:szCs w:val="32"/>
        </w:rPr>
        <w:t>日，我区累计上报15213条双公示信息，其中包含13846条行政许可、1367条行政处罚。</w:t>
      </w:r>
    </w:p>
    <w:p>
      <w:pPr>
        <w:widowControl w:val="0"/>
        <w:numPr>
          <w:ilvl w:val="0"/>
          <w:numId w:val="0"/>
        </w:numPr>
        <w:autoSpaceDE w:val="0"/>
        <w:autoSpaceDN w:val="0"/>
        <w:spacing w:line="240" w:lineRule="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drawing>
          <wp:inline distT="0" distB="0" distL="114300" distR="114300">
            <wp:extent cx="5146675" cy="3328035"/>
            <wp:effectExtent l="0" t="0" r="15875" b="5715"/>
            <wp:docPr id="10" name="图片 10" descr="16412935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41293514(1)"/>
                    <pic:cNvPicPr>
                      <a:picLocks noChangeAspect="1"/>
                    </pic:cNvPicPr>
                  </pic:nvPicPr>
                  <pic:blipFill>
                    <a:blip r:embed="rId6"/>
                    <a:stretch>
                      <a:fillRect/>
                    </a:stretch>
                  </pic:blipFill>
                  <pic:spPr>
                    <a:xfrm>
                      <a:off x="0" y="0"/>
                      <a:ext cx="5146675" cy="3328035"/>
                    </a:xfrm>
                    <a:prstGeom prst="rect">
                      <a:avLst/>
                    </a:prstGeom>
                  </pic:spPr>
                </pic:pic>
              </a:graphicData>
            </a:graphic>
          </wp:inline>
        </w:drawing>
      </w:r>
    </w:p>
    <w:p>
      <w:pPr>
        <w:widowControl w:val="0"/>
        <w:numPr>
          <w:ilvl w:val="0"/>
          <w:numId w:val="0"/>
        </w:numPr>
        <w:autoSpaceDE w:val="0"/>
        <w:autoSpaceDN w:val="0"/>
        <w:spacing w:line="240" w:lineRule="auto"/>
        <w:ind w:firstLine="643" w:firstLineChars="200"/>
        <w:rPr>
          <w:rFonts w:hint="eastAsia" w:ascii="仿宋_GB2312" w:hAnsi="仿宋_GB2312" w:eastAsia="仿宋_GB2312" w:cs="仿宋_GB2312"/>
          <w:sz w:val="32"/>
          <w:szCs w:val="32"/>
        </w:rPr>
      </w:pPr>
      <w:r>
        <w:rPr>
          <w:rFonts w:hint="eastAsia" w:ascii="楷体" w:hAnsi="楷体" w:eastAsia="楷体" w:cs="楷体"/>
          <w:b/>
          <w:i w:val="0"/>
          <w:caps w:val="0"/>
          <w:color w:val="000000" w:themeColor="text1"/>
          <w:spacing w:val="0"/>
          <w:kern w:val="0"/>
          <w:sz w:val="32"/>
          <w:szCs w:val="32"/>
          <w:shd w:val="clear" w:fill="FFFFFF"/>
          <w:lang w:val="en-US" w:eastAsia="zh-CN" w:bidi="ar"/>
          <w14:textFill>
            <w14:solidFill>
              <w14:schemeClr w14:val="tx1"/>
            </w14:solidFill>
          </w14:textFill>
        </w:rPr>
        <w:t>（五）监督保障情况。</w:t>
      </w:r>
      <w:r>
        <w:rPr>
          <w:rFonts w:ascii="微软雅黑" w:hAnsi="微软雅黑" w:eastAsia="微软雅黑" w:cs="微软雅黑"/>
          <w:i w:val="0"/>
          <w:iCs w:val="0"/>
          <w:caps w:val="0"/>
          <w:color w:val="555555"/>
          <w:spacing w:val="0"/>
          <w:sz w:val="24"/>
          <w:szCs w:val="24"/>
          <w:shd w:val="clear" w:fill="FFFFFF"/>
        </w:rPr>
        <w:t>组织局工作人员开展政务公开培训，及时编制、更新《政府信息公开指南》，持续提升我局政务公开工作水平和能力。</w:t>
      </w:r>
    </w:p>
    <w:p>
      <w:pPr>
        <w:widowControl w:val="0"/>
        <w:numPr>
          <w:ilvl w:val="0"/>
          <w:numId w:val="0"/>
        </w:numPr>
        <w:autoSpaceDE w:val="0"/>
        <w:autoSpaceDN w:val="0"/>
        <w:spacing w:line="240" w:lineRule="auto"/>
        <w:rPr>
          <w:rFonts w:hint="eastAsia" w:ascii="仿宋_GB2312" w:hAnsi="仿宋_GB2312" w:eastAsia="仿宋_GB2312" w:cs="仿宋_GB2312"/>
          <w:sz w:val="32"/>
          <w:szCs w:val="32"/>
        </w:rPr>
      </w:pP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auto"/>
        <w:ind w:right="0" w:rightChars="0"/>
        <w:jc w:val="left"/>
        <w:textAlignment w:val="auto"/>
        <w:rPr>
          <w:rFonts w:hint="eastAsia" w:ascii="微软雅黑" w:hAnsi="微软雅黑" w:eastAsia="微软雅黑" w:cs="微软雅黑"/>
          <w:i w:val="0"/>
          <w:iCs w:val="0"/>
          <w:caps w:val="0"/>
          <w:color w:val="555555"/>
          <w:spacing w:val="0"/>
          <w:sz w:val="32"/>
          <w:szCs w:val="32"/>
          <w:shd w:val="clear" w:fill="FFFFFF"/>
          <w:lang w:val="en-US" w:eastAsia="zh-CN"/>
        </w:rPr>
      </w:pPr>
    </w:p>
    <w:p>
      <w:pPr>
        <w:pStyle w:val="3"/>
        <w:keepNext w:val="0"/>
        <w:keepLines w:val="0"/>
        <w:pageBreakBefore w:val="0"/>
        <w:widowControl/>
        <w:kinsoku/>
        <w:wordWrap/>
        <w:overflowPunct/>
        <w:topLinePunct w:val="0"/>
        <w:autoSpaceDE/>
        <w:autoSpaceDN/>
        <w:bidi w:val="0"/>
        <w:adjustRightInd/>
        <w:snapToGrid/>
        <w:spacing w:before="0" w:beforeAutospacing="0" w:after="313" w:afterLines="100" w:afterAutospacing="0" w:line="560" w:lineRule="exact"/>
        <w:ind w:firstLine="643" w:firstLineChars="200"/>
        <w:jc w:val="both"/>
        <w:textAlignment w:val="auto"/>
        <w:rPr>
          <w:rFonts w:hint="eastAsia" w:ascii="宋体" w:hAnsi="宋体" w:eastAsia="宋体" w:cs="宋体"/>
          <w:color w:val="000000" w:themeColor="text1"/>
          <w:sz w:val="32"/>
          <w:szCs w:val="32"/>
          <w14:textFill>
            <w14:solidFill>
              <w14:schemeClr w14:val="tx1"/>
            </w14:solidFill>
          </w14:textFill>
        </w:rPr>
      </w:pPr>
      <w:r>
        <w:rPr>
          <w:rFonts w:hint="eastAsia" w:ascii="黑体" w:hAnsi="黑体" w:eastAsia="黑体" w:cs="黑体"/>
          <w:b/>
          <w:color w:val="000000" w:themeColor="text1"/>
          <w:sz w:val="32"/>
          <w:szCs w:val="32"/>
          <w14:textFill>
            <w14:solidFill>
              <w14:schemeClr w14:val="tx1"/>
            </w14:solidFill>
          </w14:textFill>
        </w:rPr>
        <w:t>二、主动公开政府信息情况</w:t>
      </w:r>
    </w:p>
    <w:tbl>
      <w:tblPr>
        <w:tblStyle w:val="4"/>
        <w:tblW w:w="97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435"/>
        <w:gridCol w:w="2435"/>
        <w:gridCol w:w="2435"/>
        <w:gridCol w:w="24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9740" w:type="dxa"/>
            <w:gridSpan w:val="4"/>
            <w:tcBorders>
              <w:top w:val="single" w:color="auto" w:sz="8" w:space="0"/>
              <w:left w:val="single" w:color="auto" w:sz="8" w:space="0"/>
              <w:bottom w:val="single" w:color="auto" w:sz="8" w:space="0"/>
              <w:right w:val="single" w:color="auto" w:sz="8" w:space="0"/>
            </w:tcBorders>
            <w:shd w:val="clear" w:color="auto" w:fill="C6D9F1"/>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第二十条第（一）项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信息内容</w:t>
            </w:r>
          </w:p>
        </w:tc>
        <w:tc>
          <w:tcPr>
            <w:tcW w:w="2435" w:type="dxa"/>
            <w:tcBorders>
              <w:top w:val="single" w:color="auto" w:sz="8" w:space="0"/>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本年</w:t>
            </w:r>
            <w:r>
              <w:rPr>
                <w:rFonts w:hint="eastAsia" w:ascii="宋体" w:hAnsi="宋体" w:eastAsia="宋体" w:cs="宋体"/>
                <w:color w:val="333333"/>
                <w:kern w:val="0"/>
                <w:sz w:val="20"/>
                <w:szCs w:val="20"/>
                <w:lang w:val="en-US" w:eastAsia="zh-CN"/>
              </w:rPr>
              <w:t>制发件数</w:t>
            </w:r>
          </w:p>
        </w:tc>
        <w:tc>
          <w:tcPr>
            <w:tcW w:w="2435" w:type="dxa"/>
            <w:tcBorders>
              <w:top w:val="single" w:color="auto" w:sz="8" w:space="0"/>
              <w:left w:val="nil"/>
              <w:bottom w:val="single" w:color="auto" w:sz="8" w:space="0"/>
              <w:right w:val="single" w:color="auto" w:sz="4"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本年废止件数</w:t>
            </w:r>
          </w:p>
        </w:tc>
        <w:tc>
          <w:tcPr>
            <w:tcW w:w="2435" w:type="dxa"/>
            <w:tcBorders>
              <w:top w:val="single" w:color="auto" w:sz="8" w:space="0"/>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现行有效件</w:t>
            </w:r>
            <w:r>
              <w:rPr>
                <w:rFonts w:hint="eastAsia" w:ascii="宋体" w:hAnsi="宋体" w:eastAsia="宋体" w:cs="宋体"/>
                <w:color w:val="333333"/>
                <w:kern w:val="0"/>
                <w:sz w:val="20"/>
                <w:szCs w:val="20"/>
                <w:lang w:val="en-US" w:eastAsia="zh-CN"/>
              </w:rPr>
              <w:t>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pPr>
            <w:r>
              <w:rPr>
                <w:rFonts w:hint="eastAsia" w:ascii="宋体" w:hAnsi="宋体" w:eastAsia="宋体" w:cs="宋体"/>
                <w:color w:val="000000"/>
                <w:kern w:val="0"/>
                <w:sz w:val="20"/>
                <w:szCs w:val="20"/>
                <w:lang w:val="en-US" w:eastAsia="zh-CN"/>
              </w:rPr>
              <w:t>规章</w:t>
            </w:r>
          </w:p>
        </w:tc>
        <w:tc>
          <w:tcPr>
            <w:tcW w:w="2435" w:type="dxa"/>
            <w:tcBorders>
              <w:top w:val="nil"/>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eastAsia" w:ascii="宋体" w:hAnsi="宋体" w:eastAsia="宋体" w:cs="宋体"/>
                <w:color w:val="000000"/>
                <w:kern w:val="0"/>
                <w:sz w:val="20"/>
                <w:szCs w:val="20"/>
                <w:lang w:val="en-US" w:eastAsia="zh-CN"/>
              </w:rPr>
              <w:t>　　</w:t>
            </w:r>
            <w:r>
              <w:rPr>
                <w:rFonts w:hint="default" w:ascii="宋体" w:hAnsi="宋体" w:eastAsia="宋体" w:cs="宋体"/>
                <w:color w:val="000000"/>
                <w:kern w:val="0"/>
                <w:sz w:val="20"/>
                <w:szCs w:val="20"/>
                <w:lang w:val="en-US" w:eastAsia="zh-CN"/>
              </w:rPr>
              <w:t>0</w:t>
            </w:r>
          </w:p>
        </w:tc>
        <w:tc>
          <w:tcPr>
            <w:tcW w:w="2435" w:type="dxa"/>
            <w:tcBorders>
              <w:top w:val="nil"/>
              <w:left w:val="nil"/>
              <w:bottom w:val="single" w:color="auto" w:sz="8" w:space="0"/>
              <w:right w:val="single" w:color="auto" w:sz="4"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eastAsia" w:ascii="宋体" w:hAnsi="宋体" w:eastAsia="宋体" w:cs="宋体"/>
                <w:color w:val="000000"/>
                <w:kern w:val="0"/>
                <w:sz w:val="20"/>
                <w:szCs w:val="20"/>
                <w:lang w:val="en-US" w:eastAsia="zh-CN"/>
              </w:rPr>
              <w:t> 　</w:t>
            </w:r>
            <w:r>
              <w:rPr>
                <w:rFonts w:hint="default" w:ascii="宋体" w:hAnsi="宋体" w:eastAsia="宋体" w:cs="宋体"/>
                <w:color w:val="000000"/>
                <w:kern w:val="0"/>
                <w:sz w:val="20"/>
                <w:szCs w:val="20"/>
                <w:lang w:val="en-US" w:eastAsia="zh-CN"/>
              </w:rPr>
              <w:t>0</w:t>
            </w:r>
          </w:p>
        </w:tc>
        <w:tc>
          <w:tcPr>
            <w:tcW w:w="2435" w:type="dxa"/>
            <w:tcBorders>
              <w:top w:val="nil"/>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ascii="Calibri" w:hAnsi="Calibri" w:eastAsia="宋体" w:cs="Calibri"/>
                <w:color w:val="333333"/>
                <w:kern w:val="2"/>
                <w:sz w:val="21"/>
                <w:szCs w:val="21"/>
                <w:lang w:val="en-US" w:eastAsia="zh-CN"/>
              </w:rPr>
              <w:t> </w:t>
            </w:r>
            <w:r>
              <w:rPr>
                <w:rFonts w:hint="default" w:ascii="Calibri" w:hAnsi="Calibri" w:eastAsia="宋体" w:cs="Calibri"/>
                <w:color w:val="333333"/>
                <w:kern w:val="2"/>
                <w:sz w:val="21"/>
                <w:szCs w:val="21"/>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pPr>
            <w:r>
              <w:rPr>
                <w:rFonts w:hint="eastAsia" w:ascii="宋体" w:hAnsi="宋体" w:eastAsia="宋体" w:cs="宋体"/>
                <w:color w:val="000000"/>
                <w:kern w:val="0"/>
                <w:sz w:val="20"/>
                <w:szCs w:val="20"/>
                <w:lang w:val="en-US" w:eastAsia="zh-CN"/>
              </w:rPr>
              <w:t>行政规范性文件</w:t>
            </w:r>
          </w:p>
        </w:tc>
        <w:tc>
          <w:tcPr>
            <w:tcW w:w="2435" w:type="dxa"/>
            <w:tcBorders>
              <w:top w:val="nil"/>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eastAsia" w:ascii="宋体" w:hAnsi="宋体" w:eastAsia="宋体" w:cs="宋体"/>
                <w:color w:val="000000"/>
                <w:kern w:val="0"/>
                <w:sz w:val="20"/>
                <w:szCs w:val="20"/>
                <w:lang w:val="en-US" w:eastAsia="zh-CN"/>
              </w:rPr>
              <w:t>　　</w:t>
            </w:r>
            <w:r>
              <w:rPr>
                <w:rFonts w:hint="default" w:ascii="宋体" w:hAnsi="宋体" w:eastAsia="宋体" w:cs="宋体"/>
                <w:color w:val="000000"/>
                <w:kern w:val="0"/>
                <w:sz w:val="20"/>
                <w:szCs w:val="20"/>
                <w:lang w:val="en-US" w:eastAsia="zh-CN"/>
              </w:rPr>
              <w:t>0</w:t>
            </w:r>
          </w:p>
        </w:tc>
        <w:tc>
          <w:tcPr>
            <w:tcW w:w="2435" w:type="dxa"/>
            <w:tcBorders>
              <w:top w:val="nil"/>
              <w:left w:val="nil"/>
              <w:bottom w:val="single" w:color="auto" w:sz="8" w:space="0"/>
              <w:right w:val="single" w:color="auto" w:sz="4"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eastAsia" w:ascii="宋体" w:hAnsi="宋体" w:eastAsia="宋体" w:cs="宋体"/>
                <w:color w:val="000000"/>
                <w:kern w:val="0"/>
                <w:sz w:val="20"/>
                <w:szCs w:val="20"/>
                <w:lang w:val="en-US" w:eastAsia="zh-CN"/>
              </w:rPr>
              <w:t> 　</w:t>
            </w:r>
            <w:r>
              <w:rPr>
                <w:rFonts w:hint="default" w:ascii="宋体" w:hAnsi="宋体" w:eastAsia="宋体" w:cs="宋体"/>
                <w:color w:val="000000"/>
                <w:kern w:val="0"/>
                <w:sz w:val="20"/>
                <w:szCs w:val="20"/>
                <w:lang w:val="en-US" w:eastAsia="zh-CN"/>
              </w:rPr>
              <w:t>0</w:t>
            </w:r>
          </w:p>
        </w:tc>
        <w:tc>
          <w:tcPr>
            <w:tcW w:w="2435" w:type="dxa"/>
            <w:tcBorders>
              <w:top w:val="nil"/>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default" w:ascii="Calibri" w:hAnsi="Calibri" w:eastAsia="宋体" w:cs="Calibri"/>
                <w:color w:val="333333"/>
                <w:kern w:val="2"/>
                <w:sz w:val="21"/>
                <w:szCs w:val="21"/>
                <w:lang w:val="en-US" w:eastAsia="zh-CN"/>
              </w:rPr>
              <w:t> 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第二十条第（五）项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4"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信息内容</w:t>
            </w:r>
          </w:p>
        </w:tc>
        <w:tc>
          <w:tcPr>
            <w:tcW w:w="7305" w:type="dxa"/>
            <w:gridSpan w:val="3"/>
            <w:tcBorders>
              <w:top w:val="nil"/>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本年处理决定数量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single" w:color="auto" w:sz="8" w:space="0"/>
              <w:left w:val="single" w:color="auto" w:sz="8" w:space="0"/>
              <w:bottom w:val="single" w:color="auto" w:sz="8" w:space="0"/>
              <w:right w:val="single" w:color="auto" w:sz="4"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pPr>
            <w:r>
              <w:rPr>
                <w:rFonts w:hint="eastAsia" w:ascii="宋体" w:hAnsi="宋体" w:eastAsia="宋体" w:cs="宋体"/>
                <w:color w:val="000000"/>
                <w:kern w:val="0"/>
                <w:sz w:val="20"/>
                <w:szCs w:val="20"/>
                <w:lang w:val="en-US" w:eastAsia="zh-CN"/>
              </w:rPr>
              <w:t>行政许可</w:t>
            </w:r>
          </w:p>
        </w:tc>
        <w:tc>
          <w:tcPr>
            <w:tcW w:w="7305" w:type="dxa"/>
            <w:gridSpan w:val="3"/>
            <w:tcBorders>
              <w:top w:val="single" w:color="auto" w:sz="8" w:space="0"/>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default" w:ascii="Calibri" w:hAnsi="Calibri" w:eastAsia="宋体" w:cs="Calibri"/>
                <w:color w:val="333333"/>
                <w:kern w:val="2"/>
                <w:sz w:val="21"/>
                <w:szCs w:val="21"/>
                <w:lang w:val="en-US" w:eastAsia="zh-CN"/>
              </w:rPr>
              <w:t> 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第二十条第（六）项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leftChars="0" w:right="0" w:firstLine="0" w:firstLineChars="0"/>
              <w:jc w:val="center"/>
            </w:pPr>
            <w:r>
              <w:rPr>
                <w:rFonts w:hint="eastAsia" w:ascii="宋体" w:hAnsi="宋体" w:eastAsia="宋体" w:cs="宋体"/>
                <w:color w:val="000000"/>
                <w:kern w:val="0"/>
                <w:sz w:val="20"/>
                <w:szCs w:val="20"/>
                <w:lang w:val="en-US" w:eastAsia="zh-CN"/>
              </w:rPr>
              <w:t>信息内容</w:t>
            </w:r>
          </w:p>
        </w:tc>
        <w:tc>
          <w:tcPr>
            <w:tcW w:w="7305" w:type="dxa"/>
            <w:gridSpan w:val="3"/>
            <w:tcBorders>
              <w:top w:val="single" w:color="auto" w:sz="8" w:space="0"/>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leftChars="0" w:right="0" w:firstLine="0" w:firstLineChars="0"/>
              <w:jc w:val="center"/>
            </w:pPr>
            <w:r>
              <w:rPr>
                <w:rFonts w:hint="eastAsia" w:ascii="宋体" w:hAnsi="宋体" w:eastAsia="宋体" w:cs="宋体"/>
                <w:color w:val="000000"/>
                <w:kern w:val="0"/>
                <w:sz w:val="20"/>
                <w:szCs w:val="20"/>
                <w:lang w:val="en-US" w:eastAsia="zh-CN"/>
              </w:rPr>
              <w:t>本年处理决定数量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pPr>
            <w:r>
              <w:rPr>
                <w:rFonts w:hint="eastAsia" w:ascii="宋体" w:hAnsi="宋体" w:eastAsia="宋体" w:cs="宋体"/>
                <w:color w:val="000000"/>
                <w:kern w:val="0"/>
                <w:sz w:val="20"/>
                <w:szCs w:val="20"/>
                <w:lang w:val="en-US" w:eastAsia="zh-CN"/>
              </w:rPr>
              <w:t>行政处罚</w:t>
            </w:r>
          </w:p>
        </w:tc>
        <w:tc>
          <w:tcPr>
            <w:tcW w:w="7305" w:type="dxa"/>
            <w:gridSpan w:val="3"/>
            <w:tcBorders>
              <w:top w:val="nil"/>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eastAsia" w:ascii="宋体" w:hAnsi="宋体" w:eastAsia="宋体" w:cs="宋体"/>
                <w:color w:val="000000"/>
                <w:kern w:val="0"/>
                <w:sz w:val="20"/>
                <w:szCs w:val="20"/>
                <w:lang w:val="en-US" w:eastAsia="zh-CN"/>
              </w:rPr>
              <w:t>　</w:t>
            </w:r>
            <w:r>
              <w:rPr>
                <w:rFonts w:hint="default" w:ascii="宋体" w:hAnsi="宋体" w:eastAsia="宋体" w:cs="宋体"/>
                <w:color w:val="000000"/>
                <w:kern w:val="0"/>
                <w:sz w:val="20"/>
                <w:szCs w:val="20"/>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pPr>
            <w:r>
              <w:rPr>
                <w:rFonts w:hint="eastAsia" w:ascii="宋体" w:hAnsi="宋体" w:eastAsia="宋体" w:cs="宋体"/>
                <w:color w:val="000000"/>
                <w:kern w:val="0"/>
                <w:sz w:val="20"/>
                <w:szCs w:val="20"/>
                <w:lang w:val="en-US" w:eastAsia="zh-CN"/>
              </w:rPr>
              <w:t>行政强制</w:t>
            </w:r>
          </w:p>
        </w:tc>
        <w:tc>
          <w:tcPr>
            <w:tcW w:w="7305" w:type="dxa"/>
            <w:gridSpan w:val="3"/>
            <w:tcBorders>
              <w:top w:val="nil"/>
              <w:left w:val="nil"/>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default"/>
                <w:lang w:val="en-US"/>
              </w:rPr>
            </w:pPr>
            <w:r>
              <w:rPr>
                <w:rFonts w:hint="eastAsia" w:ascii="宋体" w:hAnsi="宋体" w:eastAsia="宋体" w:cs="宋体"/>
                <w:color w:val="000000"/>
                <w:kern w:val="0"/>
                <w:sz w:val="20"/>
                <w:szCs w:val="20"/>
                <w:lang w:val="en-US" w:eastAsia="zh-CN"/>
              </w:rPr>
              <w:t>　</w:t>
            </w:r>
            <w:r>
              <w:rPr>
                <w:rFonts w:hint="default" w:ascii="宋体" w:hAnsi="宋体" w:eastAsia="宋体" w:cs="宋体"/>
                <w:color w:val="000000"/>
                <w:kern w:val="0"/>
                <w:sz w:val="20"/>
                <w:szCs w:val="20"/>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第二十条第（八）项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信息内容</w:t>
            </w:r>
          </w:p>
        </w:tc>
        <w:tc>
          <w:tcPr>
            <w:tcW w:w="7305" w:type="dxa"/>
            <w:gridSpan w:val="3"/>
            <w:tcBorders>
              <w:top w:val="nil"/>
              <w:left w:val="nil"/>
              <w:bottom w:val="single" w:color="auto" w:sz="8" w:space="0"/>
              <w:right w:val="single" w:color="000000"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pPr>
            <w:r>
              <w:rPr>
                <w:rFonts w:hint="eastAsia" w:ascii="宋体" w:hAnsi="宋体" w:eastAsia="宋体" w:cs="宋体"/>
                <w:color w:val="000000"/>
                <w:kern w:val="0"/>
                <w:sz w:val="20"/>
                <w:szCs w:val="20"/>
                <w:lang w:val="en-US" w:eastAsia="zh-CN"/>
              </w:rPr>
              <w:t>本年收费金额（单位：万元）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tcMar>
              <w:left w:w="57" w:type="dxa"/>
              <w:right w:w="57"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pPr>
            <w:r>
              <w:rPr>
                <w:rFonts w:hint="eastAsia" w:ascii="宋体" w:hAnsi="宋体" w:eastAsia="宋体" w:cs="宋体"/>
                <w:color w:val="000000"/>
                <w:kern w:val="0"/>
                <w:sz w:val="20"/>
                <w:szCs w:val="20"/>
                <w:lang w:val="en-US" w:eastAsia="zh-CN"/>
              </w:rPr>
              <w:t>行政事业性收费</w:t>
            </w:r>
          </w:p>
        </w:tc>
        <w:tc>
          <w:tcPr>
            <w:tcW w:w="7305" w:type="dxa"/>
            <w:gridSpan w:val="3"/>
            <w:tcBorders>
              <w:top w:val="nil"/>
              <w:left w:val="nil"/>
              <w:bottom w:val="single" w:color="auto" w:sz="8" w:space="0"/>
              <w:right w:val="single" w:color="000000" w:sz="8" w:space="0"/>
            </w:tcBorders>
            <w:tcMar>
              <w:left w:w="57" w:type="dxa"/>
              <w:right w:w="57" w:type="dxa"/>
            </w:tcMar>
            <w:vAlign w:val="center"/>
          </w:tcPr>
          <w:p>
            <w:pPr>
              <w:jc w:val="left"/>
              <w:rPr>
                <w:rFonts w:hint="default" w:ascii="宋体" w:hAnsi="宋体" w:eastAsia="宋体" w:cs="宋体"/>
                <w:color w:val="333333"/>
                <w:sz w:val="21"/>
                <w:szCs w:val="21"/>
                <w:lang w:val="en-US"/>
              </w:rPr>
            </w:pPr>
            <w:r>
              <w:rPr>
                <w:rFonts w:hint="default" w:ascii="宋体" w:hAnsi="宋体" w:eastAsia="宋体" w:cs="宋体"/>
                <w:color w:val="333333"/>
                <w:sz w:val="21"/>
                <w:szCs w:val="21"/>
                <w:lang w:val="en-US"/>
              </w:rPr>
              <w:t>0</w:t>
            </w:r>
          </w:p>
        </w:tc>
      </w:tr>
    </w:tbl>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color w:val="000000" w:themeColor="text1"/>
          <w:sz w:val="32"/>
          <w:szCs w:val="32"/>
          <w14:textFill>
            <w14:solidFill>
              <w14:schemeClr w14:val="tx1"/>
            </w14:solidFill>
          </w14:textFill>
        </w:rPr>
      </w:pP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黑体" w:hAnsi="黑体" w:eastAsia="黑体" w:cs="黑体"/>
          <w:b/>
          <w:color w:val="000000" w:themeColor="text1"/>
          <w:sz w:val="32"/>
          <w:szCs w:val="32"/>
          <w14:textFill>
            <w14:solidFill>
              <w14:schemeClr w14:val="tx1"/>
            </w14:solidFill>
          </w14:textFill>
        </w:rPr>
      </w:pPr>
      <w:r>
        <w:rPr>
          <w:rFonts w:hint="eastAsia" w:ascii="黑体" w:hAnsi="黑体" w:eastAsia="黑体" w:cs="黑体"/>
          <w:b/>
          <w:color w:val="000000" w:themeColor="text1"/>
          <w:sz w:val="32"/>
          <w:szCs w:val="32"/>
          <w14:textFill>
            <w14:solidFill>
              <w14:schemeClr w14:val="tx1"/>
            </w14:solidFill>
          </w14:textFill>
        </w:rPr>
        <w:t>三、收到和处理政府信息公开申请情况</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firstLine="640" w:firstLineChars="200"/>
        <w:jc w:val="both"/>
        <w:textAlignment w:val="auto"/>
        <w:rPr>
          <w:rFonts w:hint="eastAsia" w:ascii="宋体" w:hAnsi="宋体" w:eastAsia="宋体" w:cs="宋体"/>
          <w:color w:val="000000" w:themeColor="text1"/>
          <w:sz w:val="32"/>
          <w:szCs w:val="32"/>
          <w14:textFill>
            <w14:solidFill>
              <w14:schemeClr w14:val="tx1"/>
            </w14:solidFill>
          </w14:textFill>
        </w:rPr>
      </w:pPr>
    </w:p>
    <w:tbl>
      <w:tblPr>
        <w:tblStyle w:val="4"/>
        <w:tblW w:w="9741"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57" w:type="dxa"/>
          <w:bottom w:w="0" w:type="dxa"/>
          <w:right w:w="57" w:type="dxa"/>
        </w:tblCellMar>
      </w:tblPr>
      <w:tblGrid>
        <w:gridCol w:w="754"/>
        <w:gridCol w:w="921"/>
        <w:gridCol w:w="3271"/>
        <w:gridCol w:w="685"/>
        <w:gridCol w:w="685"/>
        <w:gridCol w:w="685"/>
        <w:gridCol w:w="685"/>
        <w:gridCol w:w="685"/>
        <w:gridCol w:w="685"/>
        <w:gridCol w:w="685"/>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4946" w:type="dxa"/>
            <w:gridSpan w:val="3"/>
            <w:vMerge w:val="restart"/>
            <w:tcBorders>
              <w:top w:val="single" w:color="auto" w:sz="8" w:space="0"/>
              <w:left w:val="single" w:color="auto" w:sz="8" w:space="0"/>
              <w:bottom w:val="outset" w:color="auto" w:sz="6" w:space="0"/>
              <w:right w:val="single" w:color="auto" w:sz="8" w:space="0"/>
            </w:tcBorders>
            <w:tcMar>
              <w:left w:w="108" w:type="dxa"/>
              <w:right w:w="108" w:type="dxa"/>
            </w:tcMar>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（本列数据的勾稽关系为：第一项加第二项之和，等于第三项加第四项之和）</w:t>
            </w:r>
          </w:p>
        </w:tc>
        <w:tc>
          <w:tcPr>
            <w:tcW w:w="4795" w:type="dxa"/>
            <w:gridSpan w:val="7"/>
            <w:tcBorders>
              <w:top w:val="single" w:color="auto" w:sz="8" w:space="0"/>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申请人情况</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4946" w:type="dxa"/>
            <w:gridSpan w:val="3"/>
            <w:vMerge w:val="continue"/>
            <w:tcBorders>
              <w:top w:val="single" w:color="auto" w:sz="8" w:space="0"/>
              <w:left w:val="single" w:color="auto" w:sz="8" w:space="0"/>
              <w:bottom w:val="outset" w:color="auto" w:sz="6" w:space="0"/>
              <w:right w:val="single" w:color="auto" w:sz="8" w:space="0"/>
            </w:tcBorders>
            <w:tcMar>
              <w:left w:w="108" w:type="dxa"/>
              <w:right w:w="108" w:type="dxa"/>
            </w:tcMar>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685" w:type="dxa"/>
            <w:vMerge w:val="restart"/>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自然人</w:t>
            </w:r>
          </w:p>
        </w:tc>
        <w:tc>
          <w:tcPr>
            <w:tcW w:w="3425" w:type="dxa"/>
            <w:gridSpan w:val="5"/>
            <w:tcBorders>
              <w:top w:val="single" w:color="auto" w:sz="8" w:space="0"/>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法人或其他组织</w:t>
            </w:r>
          </w:p>
        </w:tc>
        <w:tc>
          <w:tcPr>
            <w:tcW w:w="685" w:type="dxa"/>
            <w:vMerge w:val="restart"/>
            <w:tcBorders>
              <w:top w:val="single" w:color="auto" w:sz="8" w:space="0"/>
              <w:left w:val="nil"/>
              <w:bottom w:val="outset" w:color="auto" w:sz="6"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总计</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4946" w:type="dxa"/>
            <w:gridSpan w:val="3"/>
            <w:vMerge w:val="continue"/>
            <w:tcBorders>
              <w:top w:val="single" w:color="auto" w:sz="8" w:space="0"/>
              <w:left w:val="single" w:color="auto" w:sz="8" w:space="0"/>
              <w:bottom w:val="outset" w:color="auto" w:sz="6" w:space="0"/>
              <w:right w:val="single" w:color="auto" w:sz="8" w:space="0"/>
            </w:tcBorders>
            <w:tcMar>
              <w:left w:w="108" w:type="dxa"/>
              <w:right w:w="108" w:type="dxa"/>
            </w:tcMar>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685" w:type="dxa"/>
            <w:vMerge w:val="continue"/>
            <w:tcBorders>
              <w:top w:val="nil"/>
              <w:left w:val="nil"/>
              <w:bottom w:val="single" w:color="auto" w:sz="8"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商业</w:t>
            </w:r>
          </w:p>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企业</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科研</w:t>
            </w:r>
          </w:p>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机构</w:t>
            </w:r>
          </w:p>
        </w:tc>
        <w:tc>
          <w:tcPr>
            <w:tcW w:w="685" w:type="dxa"/>
            <w:tcBorders>
              <w:top w:val="single" w:color="auto" w:sz="8" w:space="0"/>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社会公益组织</w:t>
            </w:r>
          </w:p>
        </w:tc>
        <w:tc>
          <w:tcPr>
            <w:tcW w:w="685" w:type="dxa"/>
            <w:tcBorders>
              <w:top w:val="single" w:color="auto" w:sz="8" w:space="0"/>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法律服务机构</w:t>
            </w:r>
          </w:p>
        </w:tc>
        <w:tc>
          <w:tcPr>
            <w:tcW w:w="685" w:type="dxa"/>
            <w:tcBorders>
              <w:top w:val="single" w:color="auto" w:sz="8" w:space="0"/>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p>
        </w:tc>
        <w:tc>
          <w:tcPr>
            <w:tcW w:w="685" w:type="dxa"/>
            <w:vMerge w:val="continue"/>
            <w:tcBorders>
              <w:top w:val="single" w:color="auto" w:sz="8" w:space="0"/>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4946" w:type="dxa"/>
            <w:gridSpan w:val="3"/>
            <w:tcBorders>
              <w:top w:val="nil"/>
              <w:left w:val="single" w:color="auto" w:sz="8" w:space="0"/>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一、本年新收政府信息公开申请数量</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10 </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10 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4946" w:type="dxa"/>
            <w:gridSpan w:val="3"/>
            <w:tcBorders>
              <w:top w:val="nil"/>
              <w:left w:val="single" w:color="auto" w:sz="8" w:space="0"/>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二、上年结转政府信息公开申请数量</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restart"/>
            <w:tcBorders>
              <w:top w:val="nil"/>
              <w:left w:val="single" w:color="auto" w:sz="8" w:space="0"/>
              <w:bottom w:val="outset" w:color="auto" w:sz="6"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三、本年度办理结果</w:t>
            </w:r>
          </w:p>
        </w:tc>
        <w:tc>
          <w:tcPr>
            <w:tcW w:w="4192" w:type="dxa"/>
            <w:gridSpan w:val="2"/>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（一）予以公开</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1</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 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1 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4192" w:type="dxa"/>
            <w:gridSpan w:val="2"/>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（二）部分公开（区分处理的，只计这一情形，不计其他情形）</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restart"/>
            <w:tcBorders>
              <w:top w:val="nil"/>
              <w:left w:val="nil"/>
              <w:bottom w:val="outset" w:color="auto" w:sz="6"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（三）不予公开</w:t>
            </w: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1.属于国家秘密</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2.其他法律行政法规禁止公开</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3.危及“三安全一稳定”</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4.保护第三方合法权益</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5.属于三类内部事务信息</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6.属于四类过程性信息</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7.属于行政执法案卷</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8.属于行政查询事项</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restart"/>
            <w:tcBorders>
              <w:top w:val="nil"/>
              <w:left w:val="nil"/>
              <w:bottom w:val="outset" w:color="auto" w:sz="6"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（四）无法提供</w:t>
            </w: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1.本机关不掌握相关政府信息</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b w:val="0"/>
                <w:bCs w:val="0"/>
                <w:color w:val="000000" w:themeColor="text1"/>
                <w14:textFill>
                  <w14:solidFill>
                    <w14:schemeClr w14:val="tx1"/>
                  </w14:solidFill>
                </w14:textFill>
              </w:rPr>
            </w:pPr>
            <w:r>
              <w:rPr>
                <w:rFonts w:hint="default" w:eastAsia="宋体" w:cs="宋体" w:asciiTheme="minorAscii" w:hAnsiTheme="minorAscii"/>
                <w:b w:val="0"/>
                <w:bCs w:val="0"/>
                <w:color w:val="000000" w:themeColor="text1"/>
                <w:kern w:val="0"/>
                <w:sz w:val="20"/>
                <w:szCs w:val="20"/>
                <w:lang w:val="en-US" w:eastAsia="zh-CN"/>
                <w14:textFill>
                  <w14:solidFill>
                    <w14:schemeClr w14:val="tx1"/>
                  </w14:solidFill>
                </w14:textFill>
              </w:rPr>
              <w:t>9</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b w:val="0"/>
                <w:bCs w:val="0"/>
                <w:color w:val="000000" w:themeColor="text1"/>
                <w14:textFill>
                  <w14:solidFill>
                    <w14:schemeClr w14:val="tx1"/>
                  </w14:solidFill>
                </w14:textFill>
              </w:rPr>
            </w:pPr>
            <w:r>
              <w:rPr>
                <w:rFonts w:hint="default" w:eastAsia="宋体" w:cs="宋体" w:asciiTheme="minorAscii" w:hAnsiTheme="minorAscii"/>
                <w:b w:val="0"/>
                <w:bCs w:val="0"/>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b w:val="0"/>
                <w:bCs w:val="0"/>
                <w:color w:val="000000" w:themeColor="text1"/>
                <w14:textFill>
                  <w14:solidFill>
                    <w14:schemeClr w14:val="tx1"/>
                  </w14:solidFill>
                </w14:textFill>
              </w:rPr>
            </w:pPr>
            <w:r>
              <w:rPr>
                <w:rFonts w:hint="default" w:eastAsia="宋体" w:cs="宋体" w:asciiTheme="minorAscii" w:hAnsiTheme="minorAscii"/>
                <w:b w:val="0"/>
                <w:bCs w:val="0"/>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b w:val="0"/>
                <w:bCs w:val="0"/>
                <w:color w:val="000000" w:themeColor="text1"/>
                <w14:textFill>
                  <w14:solidFill>
                    <w14:schemeClr w14:val="tx1"/>
                  </w14:solidFill>
                </w14:textFill>
              </w:rPr>
            </w:pPr>
            <w:r>
              <w:rPr>
                <w:rFonts w:hint="default" w:eastAsia="宋体" w:cs="宋体" w:asciiTheme="minorAscii" w:hAnsiTheme="minorAscii"/>
                <w:b w:val="0"/>
                <w:bCs w:val="0"/>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b w:val="0"/>
                <w:bCs w:val="0"/>
                <w:color w:val="000000" w:themeColor="text1"/>
                <w14:textFill>
                  <w14:solidFill>
                    <w14:schemeClr w14:val="tx1"/>
                  </w14:solidFill>
                </w14:textFill>
              </w:rPr>
            </w:pPr>
            <w:r>
              <w:rPr>
                <w:rFonts w:hint="default" w:eastAsia="宋体" w:cs="宋体" w:asciiTheme="minorAscii" w:hAnsiTheme="minorAscii"/>
                <w:b w:val="0"/>
                <w:bCs w:val="0"/>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b w:val="0"/>
                <w:bCs w:val="0"/>
                <w:color w:val="000000" w:themeColor="text1"/>
                <w14:textFill>
                  <w14:solidFill>
                    <w14:schemeClr w14:val="tx1"/>
                  </w14:solidFill>
                </w14:textFill>
              </w:rPr>
            </w:pPr>
            <w:r>
              <w:rPr>
                <w:rFonts w:hint="default" w:eastAsia="宋体" w:cs="宋体" w:asciiTheme="minorAscii" w:hAnsiTheme="minorAscii"/>
                <w:b w:val="0"/>
                <w:bCs w:val="0"/>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b w:val="0"/>
                <w:bCs w:val="0"/>
                <w:color w:val="000000" w:themeColor="text1"/>
                <w14:textFill>
                  <w14:solidFill>
                    <w14:schemeClr w14:val="tx1"/>
                  </w14:solidFill>
                </w14:textFill>
              </w:rPr>
            </w:pPr>
            <w:r>
              <w:rPr>
                <w:rFonts w:hint="default" w:eastAsia="宋体" w:cs="宋体" w:asciiTheme="minorAscii" w:hAnsiTheme="minorAscii"/>
                <w:b w:val="0"/>
                <w:bCs w:val="0"/>
                <w:color w:val="000000" w:themeColor="text1"/>
                <w:kern w:val="0"/>
                <w:sz w:val="20"/>
                <w:szCs w:val="20"/>
                <w:lang w:val="en-US" w:eastAsia="zh-CN"/>
                <w14:textFill>
                  <w14:solidFill>
                    <w14:schemeClr w14:val="tx1"/>
                  </w14:solidFill>
                </w14:textFill>
              </w:rPr>
              <w:t>9</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2.没有现成信息需要另行制作</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3.补正后申请内容仍不明确</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 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restart"/>
            <w:tcBorders>
              <w:top w:val="nil"/>
              <w:left w:val="nil"/>
              <w:bottom w:val="outset" w:color="auto" w:sz="6"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（五）不予处理</w:t>
            </w:r>
          </w:p>
        </w:tc>
        <w:tc>
          <w:tcPr>
            <w:tcW w:w="3271"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1.信访举报投诉类申请</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2.重复申请</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3.要求提供公开出版物</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4.无正当理由大量反复申请</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single" w:color="auto" w:sz="8" w:space="0"/>
              <w:left w:val="nil"/>
              <w:bottom w:val="single" w:color="auto" w:sz="8"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trHeight w:val="779" w:hRule="atLeast"/>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nil"/>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outset" w:color="auto" w:sz="6"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both"/>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5.要求行政机关确认或重新出具已获取信息</w:t>
            </w:r>
          </w:p>
        </w:tc>
        <w:tc>
          <w:tcPr>
            <w:tcW w:w="685" w:type="dxa"/>
            <w:tcBorders>
              <w:top w:val="nil"/>
              <w:left w:val="nil"/>
              <w:bottom w:val="outset" w:color="auto" w:sz="6"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outset" w:color="auto" w:sz="6"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outset" w:color="auto" w:sz="6"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outset" w:color="auto" w:sz="6"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outset" w:color="auto" w:sz="6"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outset" w:color="auto" w:sz="6"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outset" w:color="auto" w:sz="6" w:space="0"/>
              <w:right w:val="single" w:color="auto" w:sz="8" w:space="0"/>
            </w:tcBorders>
            <w:vAlign w:val="top"/>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restart"/>
            <w:tcBorders>
              <w:top w:val="outset" w:color="auto" w:sz="6" w:space="0"/>
              <w:left w:val="nil"/>
              <w:bottom w:val="outset" w:color="auto" w:sz="6"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（六）其他处理</w:t>
            </w:r>
          </w:p>
        </w:tc>
        <w:tc>
          <w:tcPr>
            <w:tcW w:w="3271"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both"/>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1.申请人无正当理由逾期不补正、行政机关不再处理其政府信息公开申请</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outset" w:color="auto" w:sz="6" w:space="0"/>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both"/>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2.申请人逾期未按收费通知要求缴纳费用、行政机关不再处理其政府信息公开申请</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921" w:type="dxa"/>
            <w:vMerge w:val="continue"/>
            <w:tcBorders>
              <w:top w:val="outset" w:color="auto" w:sz="6" w:space="0"/>
              <w:left w:val="nil"/>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3271"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3.其他</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754" w:type="dxa"/>
            <w:vMerge w:val="continue"/>
            <w:tcBorders>
              <w:top w:val="nil"/>
              <w:left w:val="single" w:color="auto" w:sz="8" w:space="0"/>
              <w:bottom w:val="outset" w:color="auto" w:sz="6" w:space="0"/>
              <w:right w:val="single" w:color="auto" w:sz="8" w:space="0"/>
            </w:tcBorders>
            <w:vAlign w:val="center"/>
          </w:tcPr>
          <w:p>
            <w:pPr>
              <w:jc w:val="left"/>
              <w:rPr>
                <w:rFonts w:hint="eastAsia" w:ascii="宋体" w:hAnsi="宋体" w:eastAsia="宋体" w:cs="宋体"/>
                <w:color w:val="000000" w:themeColor="text1"/>
                <w:sz w:val="21"/>
                <w:szCs w:val="21"/>
                <w14:textFill>
                  <w14:solidFill>
                    <w14:schemeClr w14:val="tx1"/>
                  </w14:solidFill>
                </w14:textFill>
              </w:rPr>
            </w:pPr>
          </w:p>
        </w:tc>
        <w:tc>
          <w:tcPr>
            <w:tcW w:w="4192" w:type="dxa"/>
            <w:gridSpan w:val="2"/>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（七）总计</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lang w:val="en-US"/>
                <w14:textFill>
                  <w14:solidFill>
                    <w14:schemeClr w14:val="tx1"/>
                  </w14:solidFill>
                </w14:textFill>
              </w:rPr>
              <w:t>10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10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57" w:type="dxa"/>
            <w:bottom w:w="0" w:type="dxa"/>
            <w:right w:w="57" w:type="dxa"/>
          </w:tblCellMar>
        </w:tblPrEx>
        <w:trPr>
          <w:jc w:val="center"/>
        </w:trPr>
        <w:tc>
          <w:tcPr>
            <w:tcW w:w="4946" w:type="dxa"/>
            <w:gridSpan w:val="3"/>
            <w:tcBorders>
              <w:top w:val="nil"/>
              <w:left w:val="single" w:color="auto" w:sz="8" w:space="0"/>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四、结转下年度继续办理</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lang w:val="en-US"/>
                <w14:textFill>
                  <w14:solidFill>
                    <w14:schemeClr w14:val="tx1"/>
                  </w14:solidFill>
                </w14:textFill>
              </w:rPr>
            </w:pPr>
            <w:r>
              <w:rPr>
                <w:rFonts w:hint="default" w:eastAsia="宋体" w:cs="宋体" w:asciiTheme="minorAscii" w:hAnsiTheme="minorAscii"/>
                <w:color w:val="000000" w:themeColor="text1"/>
                <w:lang w:val="en-US"/>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85" w:type="dxa"/>
            <w:tcBorders>
              <w:top w:val="nil"/>
              <w:left w:val="nil"/>
              <w:bottom w:val="single" w:color="auto" w:sz="8" w:space="0"/>
              <w:right w:val="single" w:color="auto" w:sz="8" w:space="0"/>
            </w:tcBorders>
            <w:vAlign w:val="center"/>
          </w:tcPr>
          <w:p>
            <w:pPr>
              <w:jc w:val="center"/>
              <w:rPr>
                <w:rFonts w:hint="default" w:eastAsia="宋体" w:cs="宋体" w:asciiTheme="minorAscii" w:hAnsiTheme="minorAscii"/>
                <w:color w:val="000000" w:themeColor="text1"/>
                <w:sz w:val="21"/>
                <w:szCs w:val="21"/>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bl>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center"/>
        <w:textAlignment w:val="auto"/>
        <w:rPr>
          <w:rFonts w:hint="eastAsia" w:ascii="宋体" w:hAnsi="宋体" w:eastAsia="宋体" w:cs="宋体"/>
          <w:color w:val="000000" w:themeColor="text1"/>
          <w:sz w:val="32"/>
          <w:szCs w:val="32"/>
          <w14:textFill>
            <w14:solidFill>
              <w14:schemeClr w14:val="tx1"/>
            </w14:solidFill>
          </w14:textFill>
        </w:rPr>
      </w:pP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jc w:val="both"/>
        <w:textAlignment w:val="auto"/>
        <w:rPr>
          <w:rFonts w:hint="eastAsia" w:ascii="黑体" w:hAnsi="黑体" w:eastAsia="黑体" w:cs="黑体"/>
          <w:b/>
          <w:color w:val="000000" w:themeColor="text1"/>
          <w:sz w:val="32"/>
          <w:szCs w:val="32"/>
          <w14:textFill>
            <w14:solidFill>
              <w14:schemeClr w14:val="tx1"/>
            </w14:solidFill>
          </w14:textFill>
        </w:rPr>
      </w:pPr>
      <w:r>
        <w:rPr>
          <w:rFonts w:hint="eastAsia" w:ascii="黑体" w:hAnsi="黑体" w:eastAsia="黑体" w:cs="黑体"/>
          <w:b/>
          <w:color w:val="000000" w:themeColor="text1"/>
          <w:sz w:val="32"/>
          <w:szCs w:val="32"/>
          <w14:textFill>
            <w14:solidFill>
              <w14:schemeClr w14:val="tx1"/>
            </w14:solidFill>
          </w14:textFill>
        </w:rPr>
        <w:t>四、政府信息公开行政复议、行政诉讼情况</w:t>
      </w:r>
    </w:p>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center"/>
        <w:textAlignment w:val="auto"/>
        <w:rPr>
          <w:rFonts w:hint="eastAsia" w:ascii="宋体" w:hAnsi="宋体" w:eastAsia="宋体" w:cs="宋体"/>
          <w:color w:val="000000" w:themeColor="text1"/>
          <w:sz w:val="32"/>
          <w:szCs w:val="32"/>
          <w14:textFill>
            <w14:solidFill>
              <w14:schemeClr w14:val="tx1"/>
            </w14:solidFill>
          </w14:textFill>
        </w:rPr>
      </w:pPr>
    </w:p>
    <w:tbl>
      <w:tblPr>
        <w:tblStyle w:val="4"/>
        <w:tblW w:w="97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9"/>
        <w:gridCol w:w="649"/>
        <w:gridCol w:w="649"/>
        <w:gridCol w:w="649"/>
        <w:gridCol w:w="649"/>
        <w:gridCol w:w="649"/>
        <w:gridCol w:w="649"/>
        <w:gridCol w:w="650"/>
        <w:gridCol w:w="650"/>
        <w:gridCol w:w="650"/>
        <w:gridCol w:w="650"/>
        <w:gridCol w:w="650"/>
        <w:gridCol w:w="650"/>
        <w:gridCol w:w="650"/>
        <w:gridCol w:w="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324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400" w:firstLineChars="200"/>
              <w:jc w:val="center"/>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行政复议</w:t>
            </w:r>
          </w:p>
        </w:tc>
        <w:tc>
          <w:tcPr>
            <w:tcW w:w="6498"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400" w:firstLineChars="200"/>
              <w:jc w:val="center"/>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行政诉讼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结果维持</w:t>
            </w:r>
          </w:p>
        </w:tc>
        <w:tc>
          <w:tcPr>
            <w:tcW w:w="649" w:type="dxa"/>
            <w:vMerge w:val="restart"/>
            <w:tcBorders>
              <w:top w:val="nil"/>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结果</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纠正</w:t>
            </w:r>
          </w:p>
        </w:tc>
        <w:tc>
          <w:tcPr>
            <w:tcW w:w="649"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结果</w:t>
            </w:r>
          </w:p>
        </w:tc>
        <w:tc>
          <w:tcPr>
            <w:tcW w:w="649"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尚未</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审结</w:t>
            </w:r>
          </w:p>
        </w:tc>
        <w:tc>
          <w:tcPr>
            <w:tcW w:w="649"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总计</w:t>
            </w:r>
          </w:p>
        </w:tc>
        <w:tc>
          <w:tcPr>
            <w:tcW w:w="3248"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400" w:firstLineChars="200"/>
              <w:jc w:val="center"/>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未经复议直接起诉</w:t>
            </w:r>
          </w:p>
        </w:tc>
        <w:tc>
          <w:tcPr>
            <w:tcW w:w="3250"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400" w:firstLineChars="200"/>
              <w:jc w:val="center"/>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复议后起诉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560" w:lineRule="exact"/>
              <w:ind w:firstLine="400" w:firstLineChars="200"/>
              <w:jc w:val="left"/>
              <w:textAlignment w:val="auto"/>
              <w:rPr>
                <w:rFonts w:hint="eastAsia" w:ascii="宋体" w:hAnsi="宋体" w:eastAsia="宋体" w:cs="宋体"/>
                <w:color w:val="000000" w:themeColor="text1"/>
                <w:sz w:val="20"/>
                <w:szCs w:val="20"/>
                <w14:textFill>
                  <w14:solidFill>
                    <w14:schemeClr w14:val="tx1"/>
                  </w14:solidFill>
                </w14:textFill>
              </w:rPr>
            </w:pPr>
          </w:p>
        </w:tc>
        <w:tc>
          <w:tcPr>
            <w:tcW w:w="649"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560" w:lineRule="exact"/>
              <w:ind w:firstLine="400" w:firstLineChars="200"/>
              <w:jc w:val="left"/>
              <w:textAlignment w:val="auto"/>
              <w:rPr>
                <w:rFonts w:hint="eastAsia" w:ascii="宋体" w:hAnsi="宋体" w:eastAsia="宋体" w:cs="宋体"/>
                <w:color w:val="000000" w:themeColor="text1"/>
                <w:sz w:val="20"/>
                <w:szCs w:val="20"/>
                <w14:textFill>
                  <w14:solidFill>
                    <w14:schemeClr w14:val="tx1"/>
                  </w14:solidFill>
                </w14:textFill>
              </w:rPr>
            </w:pPr>
          </w:p>
        </w:tc>
        <w:tc>
          <w:tcPr>
            <w:tcW w:w="649"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560" w:lineRule="exact"/>
              <w:ind w:firstLine="400" w:firstLineChars="200"/>
              <w:jc w:val="left"/>
              <w:textAlignment w:val="auto"/>
              <w:rPr>
                <w:rFonts w:hint="eastAsia" w:ascii="宋体" w:hAnsi="宋体" w:eastAsia="宋体" w:cs="宋体"/>
                <w:color w:val="000000" w:themeColor="text1"/>
                <w:sz w:val="20"/>
                <w:szCs w:val="20"/>
                <w14:textFill>
                  <w14:solidFill>
                    <w14:schemeClr w14:val="tx1"/>
                  </w14:solidFill>
                </w14:textFill>
              </w:rPr>
            </w:pPr>
          </w:p>
        </w:tc>
        <w:tc>
          <w:tcPr>
            <w:tcW w:w="649"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560" w:lineRule="exact"/>
              <w:ind w:firstLine="400" w:firstLineChars="200"/>
              <w:jc w:val="left"/>
              <w:textAlignment w:val="auto"/>
              <w:rPr>
                <w:rFonts w:hint="eastAsia" w:ascii="宋体" w:hAnsi="宋体" w:eastAsia="宋体" w:cs="宋体"/>
                <w:color w:val="000000" w:themeColor="text1"/>
                <w:sz w:val="20"/>
                <w:szCs w:val="20"/>
                <w14:textFill>
                  <w14:solidFill>
                    <w14:schemeClr w14:val="tx1"/>
                  </w14:solidFill>
                </w14:textFill>
              </w:rPr>
            </w:pPr>
          </w:p>
        </w:tc>
        <w:tc>
          <w:tcPr>
            <w:tcW w:w="649"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560" w:lineRule="exact"/>
              <w:ind w:firstLine="400" w:firstLineChars="200"/>
              <w:jc w:val="left"/>
              <w:textAlignment w:val="auto"/>
              <w:rPr>
                <w:rFonts w:hint="eastAsia" w:ascii="宋体" w:hAnsi="宋体" w:eastAsia="宋体" w:cs="宋体"/>
                <w:color w:val="000000" w:themeColor="text1"/>
                <w:sz w:val="20"/>
                <w:szCs w:val="20"/>
                <w14:textFill>
                  <w14:solidFill>
                    <w14:schemeClr w14:val="tx1"/>
                  </w14:solidFill>
                </w14:textFill>
              </w:rPr>
            </w:pPr>
          </w:p>
        </w:tc>
        <w:tc>
          <w:tcPr>
            <w:tcW w:w="64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结果</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维持</w:t>
            </w:r>
          </w:p>
        </w:tc>
        <w:tc>
          <w:tcPr>
            <w:tcW w:w="64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结果</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纠正</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结果</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尚未</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审结</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总计</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结果</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维持</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结果</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纠正</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其他</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结果</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尚未</w:t>
            </w:r>
            <w:r>
              <w:rPr>
                <w:rFonts w:hint="eastAsia" w:ascii="宋体" w:hAnsi="宋体" w:eastAsia="宋体" w:cs="宋体"/>
                <w:color w:val="000000" w:themeColor="text1"/>
                <w:kern w:val="0"/>
                <w:sz w:val="20"/>
                <w:szCs w:val="20"/>
                <w:lang w:val="en-US" w:eastAsia="zh-CN"/>
                <w14:textFill>
                  <w14:solidFill>
                    <w14:schemeClr w14:val="tx1"/>
                  </w14:solidFill>
                </w14:textFill>
              </w:rPr>
              <w:br w:type="textWrapping"/>
            </w:r>
            <w:r>
              <w:rPr>
                <w:rFonts w:hint="eastAsia" w:ascii="宋体" w:hAnsi="宋体" w:eastAsia="宋体" w:cs="宋体"/>
                <w:color w:val="000000" w:themeColor="text1"/>
                <w:kern w:val="0"/>
                <w:sz w:val="20"/>
                <w:szCs w:val="20"/>
                <w:lang w:val="en-US" w:eastAsia="zh-CN"/>
                <w14:textFill>
                  <w14:solidFill>
                    <w14:schemeClr w14:val="tx1"/>
                  </w14:solidFill>
                </w14:textFill>
              </w:rPr>
              <w:t>审结</w:t>
            </w:r>
          </w:p>
        </w:tc>
        <w:tc>
          <w:tcPr>
            <w:tcW w:w="6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color w:val="000000" w:themeColor="text1"/>
                <w:sz w:val="20"/>
                <w:szCs w:val="20"/>
                <w14:textFill>
                  <w14:solidFill>
                    <w14:schemeClr w14:val="tx1"/>
                  </w14:solidFill>
                </w14:textFill>
              </w:rPr>
            </w:pPr>
            <w:r>
              <w:rPr>
                <w:rFonts w:hint="eastAsia" w:ascii="宋体" w:hAnsi="宋体" w:eastAsia="宋体" w:cs="宋体"/>
                <w:color w:val="000000" w:themeColor="text1"/>
                <w:kern w:val="0"/>
                <w:sz w:val="20"/>
                <w:szCs w:val="20"/>
                <w:lang w:val="en-US" w:eastAsia="zh-CN"/>
                <w14:textFill>
                  <w14:solidFill>
                    <w14:schemeClr w14:val="tx1"/>
                  </w14:solidFill>
                </w14:textFill>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649"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49"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49"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49"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49"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49"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49"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default"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c>
          <w:tcPr>
            <w:tcW w:w="650" w:type="dxa"/>
            <w:tcBorders>
              <w:top w:val="single" w:color="auto" w:sz="4" w:space="0"/>
              <w:left w:val="single" w:color="auto" w:sz="4" w:space="0"/>
              <w:bottom w:val="single" w:color="auto" w:sz="4" w:space="0"/>
              <w:right w:val="single" w:color="auto" w:sz="4" w:space="0"/>
            </w:tcBorders>
            <w:vAlign w:val="center"/>
          </w:tcPr>
          <w:p>
            <w:pPr>
              <w:widowControl/>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center"/>
              <w:rPr>
                <w:rFonts w:hint="eastAsia" w:eastAsia="宋体" w:cs="宋体" w:asciiTheme="minorAscii" w:hAnsiTheme="minorAscii"/>
                <w:color w:val="000000" w:themeColor="text1"/>
                <w:kern w:val="0"/>
                <w:sz w:val="20"/>
                <w:szCs w:val="20"/>
                <w:lang w:val="en-US" w:eastAsia="zh-CN"/>
                <w14:textFill>
                  <w14:solidFill>
                    <w14:schemeClr w14:val="tx1"/>
                  </w14:solidFill>
                </w14:textFill>
              </w:rPr>
            </w:pPr>
            <w:r>
              <w:rPr>
                <w:rFonts w:hint="default" w:eastAsia="宋体" w:cs="宋体" w:asciiTheme="minorAscii" w:hAnsiTheme="minorAscii"/>
                <w:color w:val="000000" w:themeColor="text1"/>
                <w:kern w:val="0"/>
                <w:sz w:val="20"/>
                <w:szCs w:val="20"/>
                <w:lang w:val="en-US" w:eastAsia="zh-CN"/>
                <w14:textFill>
                  <w14:solidFill>
                    <w14:schemeClr w14:val="tx1"/>
                  </w14:solidFill>
                </w14:textFill>
              </w:rPr>
              <w:t>0</w:t>
            </w:r>
          </w:p>
        </w:tc>
      </w:tr>
    </w:tbl>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color w:val="000000" w:themeColor="text1"/>
          <w:sz w:val="32"/>
          <w:szCs w:val="32"/>
          <w14:textFill>
            <w14:solidFill>
              <w14:schemeClr w14:val="tx1"/>
            </w14:solidFill>
          </w14:textFill>
        </w:rPr>
      </w:pP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黑体" w:hAnsi="黑体" w:eastAsia="黑体" w:cs="黑体"/>
          <w:b/>
          <w:color w:val="000000" w:themeColor="text1"/>
          <w:sz w:val="32"/>
          <w:szCs w:val="32"/>
          <w14:textFill>
            <w14:solidFill>
              <w14:schemeClr w14:val="tx1"/>
            </w14:solidFill>
          </w14:textFill>
        </w:rPr>
      </w:pPr>
      <w:r>
        <w:rPr>
          <w:rFonts w:hint="eastAsia" w:ascii="黑体" w:hAnsi="黑体" w:eastAsia="黑体" w:cs="黑体"/>
          <w:b/>
          <w:color w:val="000000" w:themeColor="text1"/>
          <w:sz w:val="32"/>
          <w:szCs w:val="32"/>
          <w14:textFill>
            <w14:solidFill>
              <w14:schemeClr w14:val="tx1"/>
            </w14:solidFill>
          </w14:textFill>
        </w:rPr>
        <w:t>五、存在的主要问题及改进情况</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楷体_GB2312" w:hAnsi="楷体_GB2312" w:eastAsia="楷体_GB2312" w:cs="楷体_GB2312"/>
          <w:b w:val="0"/>
          <w:i w:val="0"/>
          <w:caps w:val="0"/>
          <w:color w:val="000000" w:themeColor="text1"/>
          <w:spacing w:val="0"/>
          <w:kern w:val="0"/>
          <w:sz w:val="32"/>
          <w:szCs w:val="32"/>
          <w:shd w:val="clear" w:fill="FFFFFF"/>
          <w:lang w:val="en-US" w:eastAsia="zh-CN" w:bidi="ar"/>
          <w14:textFill>
            <w14:solidFill>
              <w14:schemeClr w14:val="tx1"/>
            </w14:solidFill>
          </w14:textFill>
        </w:rPr>
        <w:t>（一）</w:t>
      </w:r>
      <w:r>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t>一年来我局信息公开工作取得了一定的成效但仍然存在信息公开力度不够、信息公开清单不够完善，信息公开的手段和途径较单一等不足。</w:t>
      </w:r>
    </w:p>
    <w:p>
      <w:pPr>
        <w:pStyle w:val="3"/>
        <w:keepNext w:val="0"/>
        <w:keepLines w:val="0"/>
        <w:pageBreakBefore w:val="0"/>
        <w:widowControl/>
        <w:kinsoku/>
        <w:wordWrap/>
        <w:overflowPunct/>
        <w:topLinePunct w:val="0"/>
        <w:autoSpaceDE/>
        <w:autoSpaceDN/>
        <w:bidi w:val="0"/>
        <w:adjustRightInd/>
        <w:snapToGrid/>
        <w:spacing w:before="0" w:beforeAutospacing="0" w:after="313" w:afterLines="100" w:afterAutospacing="0" w:line="560" w:lineRule="exact"/>
        <w:ind w:firstLine="640" w:firstLineChars="200"/>
        <w:jc w:val="both"/>
        <w:textAlignment w:val="auto"/>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楷体_GB2312" w:hAnsi="楷体_GB2312" w:eastAsia="楷体_GB2312" w:cs="楷体_GB2312"/>
          <w:b w:val="0"/>
          <w:i w:val="0"/>
          <w:caps w:val="0"/>
          <w:color w:val="000000" w:themeColor="text1"/>
          <w:spacing w:val="0"/>
          <w:kern w:val="0"/>
          <w:sz w:val="32"/>
          <w:szCs w:val="32"/>
          <w:shd w:val="clear" w:fill="FFFFFF"/>
          <w:lang w:val="en-US" w:eastAsia="zh-CN" w:bidi="ar"/>
          <w14:textFill>
            <w14:solidFill>
              <w14:schemeClr w14:val="tx1"/>
            </w14:solidFill>
          </w14:textFill>
        </w:rPr>
        <w:t>（二）</w:t>
      </w:r>
      <w:r>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t>下一步加大推进政府信息公开力度，进一步拓宽信息公开渠道，抓好群众关注热点问题的公开，不断完善相关制度建设，建立健全内部信息沟通协调机制，实现信息公开的制度化、规范化、常态化，形成信息公开的长效机制，加强对信息公开业务的学习，确保信息公开的及时性、准确性。</w:t>
      </w:r>
    </w:p>
    <w:p>
      <w:pPr>
        <w:pStyle w:val="3"/>
        <w:keepNext w:val="0"/>
        <w:keepLines w:val="0"/>
        <w:pageBreakBefore w:val="0"/>
        <w:widowControl/>
        <w:kinsoku/>
        <w:wordWrap/>
        <w:overflowPunct/>
        <w:topLinePunct w:val="0"/>
        <w:autoSpaceDE/>
        <w:autoSpaceDN/>
        <w:bidi w:val="0"/>
        <w:adjustRightInd/>
        <w:snapToGrid/>
        <w:spacing w:before="0" w:beforeAutospacing="0" w:after="313" w:afterLines="100" w:afterAutospacing="0" w:line="560" w:lineRule="exact"/>
        <w:ind w:firstLine="643" w:firstLineChars="200"/>
        <w:jc w:val="both"/>
        <w:textAlignment w:val="auto"/>
        <w:rPr>
          <w:rFonts w:hint="eastAsia" w:ascii="黑体" w:hAnsi="黑体" w:eastAsia="黑体" w:cs="黑体"/>
          <w:b/>
          <w:color w:val="000000" w:themeColor="text1"/>
          <w:sz w:val="32"/>
          <w:szCs w:val="32"/>
          <w14:textFill>
            <w14:solidFill>
              <w14:schemeClr w14:val="tx1"/>
            </w14:solidFill>
          </w14:textFill>
        </w:rPr>
      </w:pPr>
      <w:r>
        <w:rPr>
          <w:rFonts w:hint="eastAsia" w:ascii="黑体" w:hAnsi="黑体" w:eastAsia="黑体" w:cs="黑体"/>
          <w:b/>
          <w:color w:val="000000" w:themeColor="text1"/>
          <w:sz w:val="32"/>
          <w:szCs w:val="32"/>
          <w14:textFill>
            <w14:solidFill>
              <w14:schemeClr w14:val="tx1"/>
            </w14:solidFill>
          </w14:textFill>
        </w:rPr>
        <w:t>六、其他需要报告的事项</w:t>
      </w:r>
    </w:p>
    <w:p>
      <w:pPr>
        <w:pStyle w:val="3"/>
        <w:keepNext w:val="0"/>
        <w:keepLines w:val="0"/>
        <w:pageBreakBefore w:val="0"/>
        <w:widowControl/>
        <w:kinsoku/>
        <w:wordWrap/>
        <w:overflowPunct/>
        <w:topLinePunct w:val="0"/>
        <w:autoSpaceDE/>
        <w:autoSpaceDN/>
        <w:bidi w:val="0"/>
        <w:adjustRightInd/>
        <w:snapToGrid/>
        <w:spacing w:before="0" w:beforeAutospacing="0" w:after="313" w:afterLines="100" w:afterAutospacing="0" w:line="560" w:lineRule="exact"/>
        <w:ind w:firstLine="640" w:firstLineChars="200"/>
        <w:jc w:val="both"/>
        <w:textAlignment w:val="auto"/>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t>　严格依照《政府信息公开信息处理费管理办法》规定的标准、程序、方式计收信息处理费，我办2021年信息处理费共计0元。</w:t>
      </w:r>
    </w:p>
    <w:p>
      <w:pPr>
        <w:pStyle w:val="3"/>
        <w:keepNext w:val="0"/>
        <w:keepLines w:val="0"/>
        <w:pageBreakBefore w:val="0"/>
        <w:widowControl/>
        <w:kinsoku/>
        <w:wordWrap/>
        <w:overflowPunct/>
        <w:topLinePunct w:val="0"/>
        <w:autoSpaceDE/>
        <w:autoSpaceDN/>
        <w:bidi w:val="0"/>
        <w:adjustRightInd/>
        <w:snapToGrid/>
        <w:spacing w:before="0" w:beforeAutospacing="0" w:after="313" w:afterLines="100" w:afterAutospacing="0" w:line="560" w:lineRule="exact"/>
        <w:ind w:firstLine="640" w:firstLineChars="200"/>
        <w:jc w:val="both"/>
        <w:textAlignment w:val="auto"/>
        <w:rPr>
          <w:rFonts w:hint="eastAsia" w:ascii="仿宋_GB2312" w:hAnsi="仿宋_GB2312" w:eastAsia="仿宋_GB2312" w:cs="仿宋_GB2312"/>
          <w:b w:val="0"/>
          <w:i w:val="0"/>
          <w:caps w:val="0"/>
          <w:color w:val="000000" w:themeColor="text1"/>
          <w:spacing w:val="0"/>
          <w:kern w:val="0"/>
          <w:sz w:val="32"/>
          <w:szCs w:val="32"/>
          <w:shd w:val="clear" w:fill="FFFFFF"/>
          <w:lang w:val="en-US" w:eastAsia="zh-CN" w:bidi="ar"/>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color w:val="000000" w:themeColor="text1"/>
          <w:sz w:val="32"/>
          <w:szCs w:val="32"/>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EA9FD89"/>
    <w:multiLevelType w:val="singleLevel"/>
    <w:tmpl w:val="6EA9FD89"/>
    <w:lvl w:ilvl="0" w:tentative="0">
      <w:start w:val="1"/>
      <w:numFmt w:val="chineseCounting"/>
      <w:suff w:val="nothing"/>
      <w:lvlText w:val="%1、"/>
      <w:lvlJc w:val="left"/>
      <w:pPr>
        <w:ind w:left="960"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D94C3B"/>
    <w:rsid w:val="042312B3"/>
    <w:rsid w:val="09661EDD"/>
    <w:rsid w:val="0ED40A41"/>
    <w:rsid w:val="16ED4E01"/>
    <w:rsid w:val="1E76691F"/>
    <w:rsid w:val="22C96F00"/>
    <w:rsid w:val="24483679"/>
    <w:rsid w:val="278779F8"/>
    <w:rsid w:val="29457F24"/>
    <w:rsid w:val="30DB5F9B"/>
    <w:rsid w:val="32582868"/>
    <w:rsid w:val="334B3AA2"/>
    <w:rsid w:val="38E32F60"/>
    <w:rsid w:val="391770C5"/>
    <w:rsid w:val="3D171ED9"/>
    <w:rsid w:val="45275E88"/>
    <w:rsid w:val="462C0191"/>
    <w:rsid w:val="4B6332D5"/>
    <w:rsid w:val="51A83313"/>
    <w:rsid w:val="51B26A4A"/>
    <w:rsid w:val="526B4401"/>
    <w:rsid w:val="534E5E00"/>
    <w:rsid w:val="53E0278A"/>
    <w:rsid w:val="57A46F0B"/>
    <w:rsid w:val="57C75EF5"/>
    <w:rsid w:val="684B31AC"/>
    <w:rsid w:val="6D35221E"/>
    <w:rsid w:val="6D4023E0"/>
    <w:rsid w:val="6EA948F3"/>
    <w:rsid w:val="70E72920"/>
    <w:rsid w:val="7B6C0A56"/>
    <w:rsid w:val="7F6B1A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Admin\Desktop\&#26032;&#24314;%20XLS%20&#24037;&#20316;&#34920;.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b="1">
                <a:solidFill>
                  <a:schemeClr val="tx1"/>
                </a:solidFill>
                <a:latin typeface="+mj-ea"/>
                <a:ea typeface="+mj-ea"/>
              </a:rPr>
              <a:t>政府信息主动公开情况</a:t>
            </a:r>
            <a:endParaRPr b="1">
              <a:solidFill>
                <a:schemeClr val="tx1"/>
              </a:solidFill>
              <a:latin typeface="+mj-ea"/>
              <a:ea typeface="+mj-ea"/>
            </a:endParaRPr>
          </a:p>
        </c:rich>
      </c:tx>
      <c:layout/>
      <c:overlay val="0"/>
      <c:spPr>
        <a:noFill/>
        <a:ln>
          <a:noFill/>
        </a:ln>
        <a:effectLst/>
      </c:spPr>
    </c:title>
    <c:autoTitleDeleted val="0"/>
    <c:plotArea>
      <c:layout/>
      <c:barChart>
        <c:barDir val="col"/>
        <c:grouping val="clustered"/>
        <c:varyColors val="0"/>
        <c:ser>
          <c:idx val="0"/>
          <c:order val="0"/>
          <c:spPr>
            <a:gradFill>
              <a:gsLst>
                <a:gs pos="74000">
                  <a:srgbClr val="9EE256"/>
                </a:gs>
                <a:gs pos="40000">
                  <a:srgbClr val="00B0F0"/>
                </a:gs>
              </a:gsLst>
              <a:lin ang="5400000" scaled="0"/>
            </a:gradFill>
            <a:ln w="19050">
              <a:solidFill>
                <a:schemeClr val="lt1"/>
              </a:solidFill>
            </a:ln>
            <a:effectLst/>
            <a:sp3d contourW="12700"/>
          </c:spPr>
          <c:invertIfNegative val="0"/>
          <c:dPt>
            <c:idx val="1"/>
            <c:invertIfNegative val="0"/>
            <c:bubble3D val="0"/>
            <c:spPr>
              <a:gradFill>
                <a:gsLst>
                  <a:gs pos="74000">
                    <a:srgbClr val="9EE256"/>
                  </a:gs>
                  <a:gs pos="40000">
                    <a:srgbClr val="00B0F0"/>
                  </a:gs>
                </a:gsLst>
                <a:lin ang="5400000" scaled="0"/>
              </a:gradFill>
              <a:ln w="19050">
                <a:solidFill>
                  <a:schemeClr val="lt1"/>
                </a:solidFill>
              </a:ln>
              <a:effectLst/>
              <a:scene3d>
                <a:camera prst="orthographicFront"/>
                <a:lightRig rig="threePt" dir="t"/>
              </a:scene3d>
              <a:sp3d contourW="12700"/>
            </c:spPr>
          </c:dPt>
          <c:dPt>
            <c:idx val="2"/>
            <c:invertIfNegative val="0"/>
            <c:bubble3D val="0"/>
            <c:explosion val="0"/>
            <c:spPr>
              <a:gradFill>
                <a:gsLst>
                  <a:gs pos="74000">
                    <a:srgbClr val="9EE256"/>
                  </a:gs>
                  <a:gs pos="40000">
                    <a:srgbClr val="00B0F0"/>
                  </a:gs>
                </a:gsLst>
                <a:lin ang="5400000" scaled="0"/>
              </a:gradFill>
              <a:ln w="19050">
                <a:solidFill>
                  <a:schemeClr val="bg1"/>
                </a:solidFill>
                <a:miter lim="800000"/>
              </a:ln>
              <a:effectLst/>
              <a:scene3d>
                <a:camera prst="orthographicFront"/>
                <a:lightRig rig="threePt" dir="t"/>
              </a:scene3d>
              <a:sp3d contourW="12700"/>
            </c:spPr>
          </c:dPt>
          <c:dPt>
            <c:idx val="3"/>
            <c:invertIfNegative val="0"/>
            <c:bubble3D val="0"/>
            <c:spPr>
              <a:gradFill>
                <a:gsLst>
                  <a:gs pos="74000">
                    <a:srgbClr val="9EE256"/>
                  </a:gs>
                  <a:gs pos="40000">
                    <a:srgbClr val="00B0F0"/>
                  </a:gs>
                </a:gsLst>
                <a:lin ang="5400000" scaled="0"/>
              </a:gradFill>
              <a:ln w="19050">
                <a:solidFill>
                  <a:schemeClr val="lt1"/>
                </a:solidFill>
              </a:ln>
              <a:effectLst/>
              <a:scene3d>
                <a:camera prst="orthographicFront"/>
                <a:lightRig rig="threePt" dir="t"/>
              </a:scene3d>
              <a:sp3d contourW="12700"/>
            </c:spPr>
          </c:dPt>
          <c:dLbls>
            <c:dLbl>
              <c:idx val="0"/>
              <c:layout>
                <c:manualLayout>
                  <c:x val="0.00676100761514197"/>
                  <c:y val="-0.00929139543098509"/>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dLbl>
              <c:idx val="1"/>
              <c:layout/>
              <c:numFmt formatCode="#,##0.00_);[Red]\(#,##0.00\)" sourceLinked="0"/>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eparator> </c:separator>
              <c:extLst>
                <c:ext xmlns:c15="http://schemas.microsoft.com/office/drawing/2012/chart" uri="{CE6537A1-D6FC-4f65-9D91-7224C49458BB}"/>
              </c:extLst>
            </c:dLbl>
            <c:dLbl>
              <c:idx val="3"/>
              <c:layout>
                <c:manualLayout>
                  <c:x val="0.0129165962517724"/>
                  <c:y val="-0.0194471032096062"/>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'[新建 XLS 工作表.xls]Sheet1'!$B$2:$B$5</c:f>
              <c:strCache>
                <c:ptCount val="4"/>
                <c:pt idx="0">
                  <c:v>人事任免</c:v>
                </c:pt>
                <c:pt idx="1">
                  <c:v>项目备案</c:v>
                </c:pt>
                <c:pt idx="2">
                  <c:v>行政审批类</c:v>
                </c:pt>
                <c:pt idx="3">
                  <c:v>行政事业性收费</c:v>
                </c:pt>
              </c:strCache>
            </c:strRef>
          </c:cat>
          <c:val>
            <c:numRef>
              <c:f>'[新建 XLS 工作表.xls]Sheet1'!$C$2:$C$5</c:f>
              <c:numCache>
                <c:formatCode>#,##0.00_ </c:formatCode>
                <c:ptCount val="4"/>
                <c:pt idx="0">
                  <c:v>2</c:v>
                </c:pt>
                <c:pt idx="1">
                  <c:v>99</c:v>
                </c:pt>
                <c:pt idx="2">
                  <c:v>279</c:v>
                </c:pt>
                <c:pt idx="3">
                  <c:v>1</c:v>
                </c:pt>
              </c:numCache>
            </c:numRef>
          </c:val>
        </c:ser>
        <c:dLbls>
          <c:showLegendKey val="0"/>
          <c:showVal val="1"/>
          <c:showCatName val="0"/>
          <c:showSerName val="0"/>
          <c:showPercent val="0"/>
          <c:showBubbleSize val="0"/>
        </c:dLbls>
        <c:gapWidth val="150"/>
        <c:overlap val="0"/>
        <c:axId val="872852358"/>
        <c:axId val="251547812"/>
      </c:barChart>
      <c:catAx>
        <c:axId val="872852358"/>
        <c:scaling>
          <c:orientation val="minMax"/>
        </c:scaling>
        <c:delete val="0"/>
        <c:axPos val="b"/>
        <c:majorTickMark val="out"/>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51547812"/>
        <c:crosses val="autoZero"/>
        <c:auto val="1"/>
        <c:lblAlgn val="ctr"/>
        <c:lblOffset val="100"/>
        <c:noMultiLvlLbl val="0"/>
      </c:catAx>
      <c:valAx>
        <c:axId val="251547812"/>
        <c:scaling>
          <c:orientation val="minMax"/>
        </c:scaling>
        <c:delete val="0"/>
        <c:axPos val="l"/>
        <c:majorGridlines>
          <c:spPr>
            <a:ln w="9525" cap="flat" cmpd="sng" algn="ctr">
              <a:solidFill>
                <a:schemeClr val="tx1">
                  <a:lumMod val="15000"/>
                  <a:lumOff val="85000"/>
                </a:schemeClr>
              </a:solidFill>
              <a:round/>
            </a:ln>
            <a:effectLst/>
          </c:spPr>
        </c:majorGridlines>
        <c:numFmt formatCode="#,##0.00_ " sourceLinked="1"/>
        <c:majorTickMark val="out"/>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872852358"/>
        <c:crosses val="autoZero"/>
        <c:crossBetween val="between"/>
      </c:valAx>
      <c:spPr>
        <a:noFill/>
        <a:ln>
          <a:noFill/>
        </a:ln>
        <a:effectLst/>
      </c:spPr>
    </c:plotArea>
    <c:legend>
      <c:legendPos val="r"/>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2">
        <a:lumMod val="90000"/>
      </a:schemeClr>
    </a:solidFill>
    <a:ln w="15875" cap="flat" cmpd="sng" algn="ctr">
      <a:solidFill>
        <a:schemeClr val="tx1"/>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113</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2021-01-06T08:21:00Z</dcterms:created>
  <dc:creator>admin</dc:creator>
  <cp:lastModifiedBy>admin</cp:lastModifiedBy>
  <cp:lastPrinted>2022-06-22T08:33:02Z</cp:lastPrinted>
  <dcterms:modified xsi:type="dcterms:W3CDTF">2022-06-22T09:19:09Z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EC896D40AC2D47D48FD8FB5BA7594320</vt:lpwstr>
  </property>
</Properties>
</file>