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adjustRightInd w:val="0"/>
        <w:snapToGrid w:val="0"/>
        <w:spacing w:line="560" w:lineRule="exact"/>
        <w:jc w:val="left"/>
        <w:rPr>
          <w:rFonts w:hint="eastAsia" w:ascii="黑体" w:hAnsi="黑体" w:eastAsia="黑体" w:cs="黑体"/>
          <w:b/>
          <w:bCs/>
          <w:kern w:val="36"/>
          <w:sz w:val="32"/>
          <w:szCs w:val="32"/>
          <w:lang w:val="en-US" w:eastAsia="zh-CN"/>
        </w:rPr>
      </w:pPr>
      <w:r>
        <w:rPr>
          <w:rFonts w:hint="eastAsia" w:ascii="黑体" w:hAnsi="黑体" w:eastAsia="黑体" w:cs="黑体"/>
          <w:b/>
          <w:bCs/>
          <w:kern w:val="36"/>
          <w:sz w:val="32"/>
          <w:szCs w:val="32"/>
          <w:lang w:eastAsia="zh-CN"/>
        </w:rPr>
        <w:t>附件</w:t>
      </w:r>
      <w:r>
        <w:rPr>
          <w:rFonts w:hint="eastAsia" w:ascii="黑体" w:hAnsi="黑体" w:eastAsia="黑体" w:cs="黑体"/>
          <w:b/>
          <w:bCs/>
          <w:kern w:val="36"/>
          <w:sz w:val="32"/>
          <w:szCs w:val="32"/>
          <w:lang w:val="en-US" w:eastAsia="zh-CN"/>
        </w:rPr>
        <w:t>12</w:t>
      </w:r>
    </w:p>
    <w:p>
      <w:pPr>
        <w:widowControl/>
        <w:adjustRightInd w:val="0"/>
        <w:snapToGrid w:val="0"/>
        <w:spacing w:line="560" w:lineRule="exact"/>
        <w:jc w:val="left"/>
        <w:rPr>
          <w:rFonts w:hint="eastAsia" w:ascii="黑体" w:hAnsi="黑体" w:eastAsia="黑体" w:cs="黑体"/>
          <w:b/>
          <w:bCs/>
          <w:kern w:val="36"/>
          <w:sz w:val="32"/>
          <w:szCs w:val="32"/>
          <w:lang w:val="en-US" w:eastAsia="zh-CN"/>
        </w:rPr>
      </w:pPr>
    </w:p>
    <w:p>
      <w:pPr>
        <w:widowControl/>
        <w:adjustRightInd w:val="0"/>
        <w:snapToGrid w:val="0"/>
        <w:spacing w:line="560" w:lineRule="exact"/>
        <w:jc w:val="center"/>
        <w:rPr>
          <w:rFonts w:hint="eastAsia" w:ascii="方正小标宋简体" w:hAnsi="宋体" w:eastAsia="方正小标宋简体" w:cs="宋体"/>
          <w:b/>
          <w:bCs/>
          <w:kern w:val="36"/>
          <w:sz w:val="36"/>
          <w:szCs w:val="36"/>
        </w:rPr>
      </w:pPr>
      <w:r>
        <w:rPr>
          <w:rFonts w:hint="eastAsia" w:ascii="方正小标宋简体" w:hAnsi="宋体" w:eastAsia="方正小标宋简体" w:cs="宋体"/>
          <w:b/>
          <w:bCs/>
          <w:kern w:val="36"/>
          <w:sz w:val="36"/>
          <w:szCs w:val="36"/>
        </w:rPr>
        <w:t>福建省物价局 福建省财政厅 福建省水利厅</w:t>
      </w:r>
    </w:p>
    <w:p>
      <w:pPr>
        <w:widowControl/>
        <w:adjustRightInd w:val="0"/>
        <w:snapToGrid w:val="0"/>
        <w:spacing w:line="560" w:lineRule="exact"/>
        <w:jc w:val="center"/>
        <w:rPr>
          <w:rFonts w:hint="eastAsia" w:ascii="方正小标宋简体" w:hAnsi="宋体" w:eastAsia="方正小标宋简体" w:cs="宋体"/>
          <w:b/>
          <w:bCs/>
          <w:kern w:val="36"/>
          <w:sz w:val="36"/>
          <w:szCs w:val="36"/>
        </w:rPr>
      </w:pPr>
      <w:r>
        <w:rPr>
          <w:rFonts w:hint="eastAsia" w:ascii="方正小标宋简体" w:hAnsi="宋体" w:eastAsia="方正小标宋简体" w:cs="宋体"/>
          <w:b/>
          <w:bCs/>
          <w:kern w:val="36"/>
          <w:sz w:val="36"/>
          <w:szCs w:val="36"/>
        </w:rPr>
        <w:t>关于调整水资源费征收标准有关问题的通知</w:t>
      </w:r>
    </w:p>
    <w:p>
      <w:pPr>
        <w:widowControl/>
        <w:adjustRightInd w:val="0"/>
        <w:snapToGrid w:val="0"/>
        <w:spacing w:line="540" w:lineRule="exact"/>
        <w:jc w:val="center"/>
        <w:rPr>
          <w:rFonts w:hint="eastAsia" w:ascii="仿宋_GB2312" w:hAnsi="宋体" w:eastAsia="仿宋_GB2312" w:cs="宋体"/>
          <w:b/>
          <w:bCs/>
          <w:kern w:val="36"/>
          <w:sz w:val="32"/>
          <w:szCs w:val="32"/>
        </w:rPr>
      </w:pPr>
      <w:r>
        <w:rPr>
          <w:rFonts w:hint="eastAsia" w:ascii="仿宋_GB2312" w:eastAsia="仿宋_GB2312"/>
          <w:sz w:val="32"/>
          <w:szCs w:val="32"/>
        </w:rPr>
        <w:t>闽价商〔2014〕395号</w:t>
      </w:r>
    </w:p>
    <w:p>
      <w:pPr>
        <w:widowControl/>
        <w:wordWrap/>
        <w:adjustRightInd w:val="0"/>
        <w:snapToGrid w:val="0"/>
        <w:spacing w:before="0" w:after="0" w:line="520" w:lineRule="exact"/>
        <w:ind w:left="0" w:leftChars="0" w:right="0"/>
        <w:textAlignment w:val="auto"/>
        <w:outlineLvl w:val="9"/>
        <w:rPr>
          <w:rFonts w:hint="eastAsia" w:ascii="仿宋_GB2312" w:hAnsi="宋体" w:eastAsia="仿宋_GB2312" w:cs="宋体"/>
          <w:color w:val="000000"/>
          <w:kern w:val="0"/>
          <w:sz w:val="32"/>
          <w:szCs w:val="32"/>
        </w:rPr>
      </w:pPr>
      <w:bookmarkStart w:id="0" w:name="_GoBack"/>
      <w:r>
        <w:rPr>
          <w:rFonts w:hint="eastAsia" w:ascii="仿宋_GB2312" w:hAnsi="宋体" w:eastAsia="仿宋_GB2312" w:cs="宋体"/>
          <w:color w:val="000000"/>
          <w:kern w:val="0"/>
          <w:sz w:val="32"/>
          <w:szCs w:val="32"/>
        </w:rPr>
        <w:t>各市、县（区）物价局(发改委)、财政局、水利局，平潭综合实验区市场监督管理局、财政金融局、经济发展局：</w:t>
      </w:r>
    </w:p>
    <w:p>
      <w:pPr>
        <w:widowControl/>
        <w:wordWrap/>
        <w:adjustRightInd w:val="0"/>
        <w:snapToGrid w:val="0"/>
        <w:spacing w:before="0" w:after="0" w:line="520" w:lineRule="exact"/>
        <w:ind w:left="0" w:leftChars="0" w:right="0" w:firstLine="640" w:firstLineChars="200"/>
        <w:jc w:val="left"/>
        <w:textAlignment w:val="auto"/>
        <w:outlineLvl w:val="9"/>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根据国家发展改革委、财政部、水利部《关于水资源费征收标准有关问题的通知》（发改价格〔2013〕29号）精神，为促进水资源节约、保护、管理与合理开发利用，经省政府同意，决定适当提高我省地表水水资源费征收标准，并实行超计划取水累进征收水资源费制度。有关事项通知如下：     </w:t>
      </w:r>
    </w:p>
    <w:p>
      <w:pPr>
        <w:widowControl/>
        <w:wordWrap/>
        <w:adjustRightInd w:val="0"/>
        <w:snapToGrid w:val="0"/>
        <w:spacing w:before="0" w:after="0" w:line="520" w:lineRule="exact"/>
        <w:ind w:left="0" w:leftChars="0" w:right="0" w:firstLine="640" w:firstLineChars="200"/>
        <w:jc w:val="left"/>
        <w:textAlignment w:val="auto"/>
        <w:outlineLvl w:val="9"/>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一、适当提高地表水水资源费征收标准     </w:t>
      </w:r>
    </w:p>
    <w:p>
      <w:pPr>
        <w:widowControl/>
        <w:wordWrap/>
        <w:adjustRightInd w:val="0"/>
        <w:snapToGrid w:val="0"/>
        <w:spacing w:before="0" w:after="0" w:line="520" w:lineRule="exact"/>
        <w:ind w:left="0" w:leftChars="0" w:right="0" w:firstLine="640" w:firstLineChars="200"/>
        <w:jc w:val="left"/>
        <w:textAlignment w:val="auto"/>
        <w:outlineLvl w:val="9"/>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对地表水中“城乡生活取用水”、“工业取用水”、“除工业取水之外的其他生产经营取用水”，一类区提高水资源费征收标准0.04元/立方米，二类区提高水资源费征收标准0.03元/立方米。</w:t>
      </w:r>
    </w:p>
    <w:p>
      <w:pPr>
        <w:widowControl/>
        <w:wordWrap/>
        <w:adjustRightInd w:val="0"/>
        <w:snapToGrid w:val="0"/>
        <w:spacing w:before="0" w:after="0" w:line="520" w:lineRule="exact"/>
        <w:ind w:left="0" w:leftChars="0" w:right="0" w:firstLine="640" w:firstLineChars="200"/>
        <w:jc w:val="left"/>
        <w:textAlignment w:val="auto"/>
        <w:outlineLvl w:val="9"/>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 xml:space="preserve">具体调整如下：      单位：元/立方米  </w:t>
      </w:r>
    </w:p>
    <w:bookmarkEnd w:id="0"/>
    <w:tbl>
      <w:tblPr>
        <w:tblW w:w="88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2864"/>
        <w:gridCol w:w="1516"/>
        <w:gridCol w:w="2076"/>
        <w:gridCol w:w="23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地表水取水用途 </w:t>
            </w: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地区分类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现行收费标准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调整后收费标准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restart"/>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城乡生活取用水 </w:t>
            </w: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一类区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0.06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二类区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0.05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restart"/>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工业取用水 </w:t>
            </w: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一类区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0.08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0.12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二类区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0.07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restart"/>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除工业取水之外的其他生产经营取用水 </w:t>
            </w: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一类区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0.12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jc w:val="center"/>
        </w:trPr>
        <w:tc>
          <w:tcPr>
            <w:tcW w:w="286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1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二类区 </w:t>
            </w:r>
          </w:p>
        </w:tc>
        <w:tc>
          <w:tcPr>
            <w:tcW w:w="2076"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0.10 </w:t>
            </w:r>
          </w:p>
        </w:tc>
        <w:tc>
          <w:tcPr>
            <w:tcW w:w="2348" w:type="dxa"/>
            <w:tcBorders>
              <w:top w:val="single" w:color="auto" w:sz="4" w:space="0"/>
              <w:left w:val="single" w:color="auto" w:sz="4" w:space="0"/>
              <w:bottom w:val="single" w:color="auto" w:sz="4" w:space="0"/>
              <w:right w:val="single" w:color="auto" w:sz="4" w:space="0"/>
            </w:tcBorders>
            <w:vAlign w:val="top"/>
          </w:tcPr>
          <w:p>
            <w:pPr>
              <w:widowControl/>
              <w:spacing w:before="100" w:beforeAutospacing="1" w:after="100" w:afterAutospacing="1" w:line="500" w:lineRule="exact"/>
              <w:jc w:val="center"/>
              <w:rPr>
                <w:rFonts w:ascii="宋体" w:hAnsi="宋体" w:eastAsia="宋体" w:cs="宋体"/>
                <w:kern w:val="0"/>
                <w:sz w:val="24"/>
                <w:szCs w:val="24"/>
              </w:rPr>
            </w:pPr>
            <w:r>
              <w:rPr>
                <w:rFonts w:ascii="宋体" w:hAnsi="宋体" w:eastAsia="宋体" w:cs="宋体"/>
                <w:kern w:val="0"/>
                <w:sz w:val="24"/>
                <w:szCs w:val="24"/>
              </w:rPr>
              <w:t xml:space="preserve">0.13 </w:t>
            </w:r>
          </w:p>
        </w:tc>
      </w:tr>
    </w:tbl>
    <w:p>
      <w:pPr>
        <w:widowControl/>
        <w:adjustRightInd w:val="0"/>
        <w:spacing w:line="560" w:lineRule="exact"/>
        <w:ind w:firstLine="640" w:firstLineChars="200"/>
        <w:jc w:val="lef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备注：一类区为福州、莆田、泉州、厦门、漳州市，以及平潭综合实验区；二类区为龙岩、三明、南平、宁德市。     </w:t>
      </w:r>
    </w:p>
    <w:p>
      <w:pPr>
        <w:widowControl/>
        <w:adjustRightInd w:val="0"/>
        <w:spacing w:line="560" w:lineRule="exact"/>
        <w:ind w:firstLine="640" w:firstLineChars="200"/>
        <w:jc w:val="lef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二、实行超计划取水累进征收水资源费制度</w:t>
      </w:r>
    </w:p>
    <w:p>
      <w:pPr>
        <w:widowControl/>
        <w:adjustRightInd w:val="0"/>
        <w:spacing w:line="560" w:lineRule="exact"/>
        <w:ind w:firstLine="640" w:firstLineChars="200"/>
        <w:jc w:val="lef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按照水行政主管部门批准的取水许可计划，除水力发电、贯流式火力发电、城市供水企业外的取水单位或个人超计划取水的，对超计划取水部分按年度累进征收水资源费。超过计划取水20%（含20%）以内部分在原标准基础上加收1倍水资源费，超过计划取水20%（不含20%）-50%（含50%）部分在原标准基础上加收2倍水资源费，超过计划取水50%（不含50%）以上部分在原标准基础上加收3倍水资源费。     </w:t>
      </w:r>
    </w:p>
    <w:p>
      <w:pPr>
        <w:widowControl/>
        <w:adjustRightInd w:val="0"/>
        <w:spacing w:line="560" w:lineRule="exact"/>
        <w:ind w:firstLine="640" w:firstLineChars="200"/>
        <w:jc w:val="lef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三、超计划取水累进征收水资源费，由县级以上人民政府水行政主管部门按照取水许可管理权限分级负责，通过水利工程供水的，在水利工程环节征收，由水利供水工程管理单位统一缴纳。价格主管部门在核定水利工程供水价格时要明确实行超计划取水累进征收水资源费制度。     </w:t>
      </w:r>
    </w:p>
    <w:p>
      <w:pPr>
        <w:widowControl/>
        <w:adjustRightInd w:val="0"/>
        <w:snapToGrid w:val="0"/>
        <w:spacing w:line="560" w:lineRule="exact"/>
        <w:ind w:firstLine="640" w:firstLineChars="200"/>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四、本通知自2015年1月1日起执行。其中，对城市供水企业的水资源费调整自当地城市供水价格调整起执行；通过水利工程供水的，水资源费调整从2015年3月1日起执行，价格主管部门要及时将水资源费纳入水利工程供水价格中。</w:t>
      </w:r>
    </w:p>
    <w:p>
      <w:pPr>
        <w:adjustRightInd w:val="0"/>
        <w:snapToGrid w:val="0"/>
        <w:spacing w:line="560" w:lineRule="exact"/>
        <w:rPr>
          <w:rFonts w:hint="eastAsia" w:ascii="仿宋_GB2312" w:hAnsi="宋体" w:eastAsia="仿宋_GB2312" w:cs="宋体"/>
          <w:color w:val="000000"/>
          <w:kern w:val="0"/>
          <w:sz w:val="32"/>
          <w:szCs w:val="32"/>
        </w:rPr>
      </w:pPr>
    </w:p>
    <w:p>
      <w:pPr>
        <w:adjustRightInd w:val="0"/>
        <w:snapToGrid w:val="0"/>
        <w:spacing w:line="560" w:lineRule="exact"/>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福建省物价局       福建省财政厅       福建省水利厅</w:t>
      </w:r>
    </w:p>
    <w:p>
      <w:pPr>
        <w:adjustRightInd w:val="0"/>
        <w:snapToGrid w:val="0"/>
        <w:spacing w:line="560" w:lineRule="exact"/>
        <w:jc w:val="center"/>
        <w:rPr>
          <w:rFonts w:hint="eastAsia"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 xml:space="preserve">                        2014年12月18日</w:t>
      </w:r>
    </w:p>
    <w:p/>
    <w:sectPr>
      <w:pgSz w:w="11906" w:h="16838"/>
      <w:pgMar w:top="1701" w:right="1474" w:bottom="1417" w:left="1588" w:header="851" w:footer="992" w:gutter="0"/>
      <w:paperSrc w:first="0" w:oth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Calibri">
    <w:panose1 w:val="020F0502020204030204"/>
    <w:charset w:val="00"/>
    <w:family w:val="auto"/>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Cambria">
    <w:panose1 w:val="02040503050406030204"/>
    <w:charset w:val="00"/>
    <w:family w:val="auto"/>
    <w:pitch w:val="default"/>
    <w:sig w:usb0="E00002FF" w:usb1="400004FF"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0" w:name="annotation subject"/>
    <w:lsdException w:uiPriority="0" w:name="Balloon Text"/>
  </w:latentStyles>
  <w:style w:type="paragraph" w:default="1" w:styleId="1">
    <w:name w:val="Normal"/>
    <w:qFormat/>
    <w:uiPriority w:val="0"/>
    <w:pPr>
      <w:widowControl w:val="0"/>
      <w:jc w:val="both"/>
    </w:pPr>
    <w:rPr>
      <w:rFonts w:ascii="Calibri" w:hAnsi="Calibri" w:eastAsia="宋体"/>
      <w:kern w:val="2"/>
      <w:sz w:val="21"/>
      <w:szCs w:val="22"/>
      <w:lang w:val="en-US" w:eastAsia="zh-CN" w:bidi="ar-SA"/>
    </w:rPr>
  </w:style>
  <w:style w:type="paragraph" w:styleId="2">
    <w:name w:val="heading 1"/>
    <w:basedOn w:val="1"/>
    <w:link w:val="5"/>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3">
    <w:name w:val="Default Paragraph Font"/>
    <w:semiHidden/>
    <w:unhideWhenUsed/>
    <w:uiPriority w:val="1"/>
  </w:style>
  <w:style w:type="paragraph" w:customStyle="1" w:styleId="4">
    <w:name w:val="List Paragraph"/>
    <w:basedOn w:val="1"/>
    <w:qFormat/>
    <w:uiPriority w:val="34"/>
    <w:pPr>
      <w:ind w:firstLine="420" w:firstLineChars="200"/>
    </w:pPr>
  </w:style>
  <w:style w:type="character" w:customStyle="1" w:styleId="5">
    <w:name w:val="标题 1 Char"/>
    <w:basedOn w:val="3"/>
    <w:link w:val="2"/>
    <w:uiPriority w:val="9"/>
    <w:rPr>
      <w:rFonts w:ascii="宋体" w:hAnsi="宋体" w:eastAsia="宋体" w:cs="宋体"/>
      <w:b/>
      <w:bCs/>
      <w:kern w:val="36"/>
      <w:sz w:val="48"/>
      <w:szCs w:val="4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170</Words>
  <Characters>969</Characters>
  <Lines>8</Lines>
  <Paragraphs>2</Paragraphs>
  <TotalTime>0</TotalTime>
  <ScaleCrop>false</ScaleCrop>
  <LinksUpToDate>false</LinksUpToDate>
  <CharactersWithSpaces>0</CharactersWithSpaces>
  <Application>WPS Office 专业版_9.1.0.4472_{F1E327BC-269C-435d-A152-05C5408002CA}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2018-06-01T08:51:00Z</dcterms:created>
  <dc:creator>DELL</dc:creator>
  <cp:lastModifiedBy>fg</cp:lastModifiedBy>
  <dcterms:modified xsi:type="dcterms:W3CDTF">2018-06-04T08:35:44Z</dcterms:modified>
  <dc:title>附件12</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2052-9.1.0.4472</vt:lpwstr>
  </property>
</Properties>
</file>