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wordWrap/>
        <w:adjustRightInd/>
        <w:snapToGrid/>
        <w:spacing w:before="0" w:beforeAutospacing="0" w:after="0" w:afterAutospacing="0" w:line="560" w:lineRule="exact"/>
        <w:ind w:left="0" w:leftChars="0" w:right="0" w:firstLine="0" w:firstLineChars="0"/>
        <w:jc w:val="both"/>
        <w:textAlignment w:val="baseline"/>
        <w:outlineLvl w:val="9"/>
        <w:rPr>
          <w:rStyle w:val="5"/>
          <w:rFonts w:hint="default" w:ascii="Times New Roman" w:hAnsi="Times New Roman" w:eastAsia="黑体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Style w:val="5"/>
          <w:rFonts w:hint="default" w:ascii="Times New Roman" w:hAnsi="Times New Roman" w:eastAsia="黑体" w:cs="Times New Roman"/>
          <w:b w:val="0"/>
          <w:i w:val="0"/>
          <w:caps w:val="0"/>
          <w:color w:val="auto"/>
          <w:spacing w:val="0"/>
          <w:w w:val="100"/>
          <w:kern w:val="2"/>
          <w:sz w:val="32"/>
          <w:szCs w:val="32"/>
          <w:lang w:val="en-US" w:eastAsia="zh-CN" w:bidi="ar-SA"/>
        </w:rPr>
        <w:t>附件1</w:t>
      </w:r>
    </w:p>
    <w:p>
      <w:pPr>
        <w:widowControl/>
        <w:wordWrap/>
        <w:adjustRightInd/>
        <w:snapToGrid/>
        <w:spacing w:before="0" w:beforeAutospacing="0" w:after="0" w:afterAutospacing="0" w:line="560" w:lineRule="exact"/>
        <w:ind w:left="0" w:leftChars="0" w:right="0" w:firstLine="0" w:firstLineChars="0"/>
        <w:jc w:val="center"/>
        <w:textAlignment w:val="baseline"/>
        <w:outlineLvl w:val="9"/>
        <w:rPr>
          <w:rStyle w:val="5"/>
          <w:rFonts w:hint="default" w:ascii="Times New Roman" w:hAnsi="Times New Roman" w:eastAsia="方正小标宋简体" w:cs="Times New Roman"/>
          <w:b w:val="0"/>
          <w:i w:val="0"/>
          <w:caps w:val="0"/>
          <w:color w:val="auto"/>
          <w:spacing w:val="0"/>
          <w:w w:val="100"/>
          <w:kern w:val="2"/>
          <w:sz w:val="36"/>
          <w:szCs w:val="36"/>
          <w:lang w:val="en-US" w:eastAsia="zh-CN" w:bidi="ar-SA"/>
        </w:rPr>
      </w:pPr>
      <w:r>
        <w:rPr>
          <w:rStyle w:val="5"/>
          <w:rFonts w:hint="default" w:ascii="Times New Roman" w:hAnsi="Times New Roman" w:eastAsia="方正小标宋简体" w:cs="Times New Roman"/>
          <w:b w:val="0"/>
          <w:i w:val="0"/>
          <w:caps w:val="0"/>
          <w:color w:val="auto"/>
          <w:spacing w:val="0"/>
          <w:w w:val="100"/>
          <w:kern w:val="2"/>
          <w:sz w:val="36"/>
          <w:szCs w:val="36"/>
          <w:lang w:val="en-US" w:eastAsia="zh-CN" w:bidi="ar-SA"/>
        </w:rPr>
        <w:t>翔安区2023年秋季小学招生范围划分一览表</w:t>
      </w:r>
    </w:p>
    <w:tbl>
      <w:tblPr>
        <w:tblStyle w:val="3"/>
        <w:tblW w:w="9230" w:type="dxa"/>
        <w:tblInd w:w="-25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13"/>
        <w:gridCol w:w="2236"/>
        <w:gridCol w:w="818"/>
        <w:gridCol w:w="1011"/>
        <w:gridCol w:w="475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序号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学校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计划</w:t>
            </w:r>
          </w:p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班级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控制</w:t>
            </w:r>
          </w:p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规模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招生片区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大嶝中心小学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180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田墘、山头、东埕、北门社区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双沪小学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125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双沪、浔堀、嶝崎社区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阳塘小学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阳塘社区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小嶝小学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小嶝社区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和风小学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浦园社区、西滨社区；明发半岛祥湾小区、翡丽湾小区、世茂国风明月小区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第六实验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欧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厝社区、澳头社区；世茂御海墅小区、前海湾小区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7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彭厝学校小学部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彭厝社区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莲河小学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莲河社区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霞浯小学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霞浯社区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10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厦大附属翔安实验学校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特房芙蓉书院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11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珩厝小学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珩厝、霄垄社区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12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东园小学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东园社区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13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九溪小学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225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大宅、吕塘社区、茂林社区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14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新翔小学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东方新城小区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15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省教院一附小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祥吴社区宋坂里；汇景新城小区、宝嘉誉园小区、东城合院小区、招商雍华府、海晟颐翔湾小区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16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溪尾小学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溪尾社区、陈塘社区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17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教师进修附小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洪前社区；莲花尚城小区</w:t>
            </w:r>
            <w:r>
              <w:rPr>
                <w:rStyle w:val="8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、联合博学园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小区、洪前安置房小区</w:t>
            </w:r>
            <w:r>
              <w:rPr>
                <w:rStyle w:val="5"/>
                <w:rFonts w:hint="default" w:ascii="Times New Roman" w:hAnsi="Times New Roman" w:eastAsia="仿宋_GB2312" w:cs="Times New Roman"/>
                <w:color w:val="auto"/>
                <w:kern w:val="0"/>
                <w:sz w:val="21"/>
                <w:szCs w:val="21"/>
              </w:rPr>
              <w:t>（含天玺华庭小区）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、古龙尚逸园小区、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卢卡小镇小区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18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蔡厝小学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蔡厝社区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19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第一实验小学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7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315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新兴社区、新店社区、东坑社区、湖头社区；首开领翔国际、泰禾红门小区，翔安南区安置房小区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20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实验学校小学部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360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祥吴社区（宋坂里除外）、朱坑社区、美地雅登小区、翔安北区安置房小区、春江里居住区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21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第三实验小学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7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315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地铁社区保障性住房小区（一期，含林前综合体）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22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振南小学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地铁社区保障性住房小区（二期）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23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洪厝小学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洪厝社区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/>
                <w:bCs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24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许厝小学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炉前社区、下后滨社区、下许社区、垵山社区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25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琼头小学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135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琼头社区、陈新社区新宅自然村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26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井头小学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井头社区、陈新社区陈头自然村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嶝山小学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窗东社区、蔡浦社区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28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城场小学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城场社区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29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舫山小学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360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五星（324国道以南）、五美社区、后亭社区（324国道以南）、友民社区、三乡社区、后滨社区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30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马巷中心小学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360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舫阳社区（坪边、古垵、溪上、店头庄、内田）；锦绣祥安小区、万科小区、龙翔峰景小区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4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31</w:t>
            </w:r>
          </w:p>
        </w:tc>
        <w:tc>
          <w:tcPr>
            <w:tcW w:w="223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郑坂小学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01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90</w:t>
            </w:r>
          </w:p>
        </w:tc>
        <w:tc>
          <w:tcPr>
            <w:tcW w:w="475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郑坂社区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32</w:t>
            </w:r>
          </w:p>
        </w:tc>
        <w:tc>
          <w:tcPr>
            <w:tcW w:w="223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金山小学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bottom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市头社区、西坂社区（含下坂、西亭自然村）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33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第二实验小学</w:t>
            </w:r>
          </w:p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（滨安校区）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360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黎安社区；滨安花园小区、黎安小镇小区、中骏蓝湾尚都小区、联发欣悦学府小区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34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第二实验小学</w:t>
            </w:r>
          </w:p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（黎安校区）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180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黎安社区；黎安保障性住房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35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沈井小学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沈井社区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36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舫山第二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7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225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五星社区（324国道以北）、后亭社区（324国道以北）；桐梓新村、海峡商贸城、翔林夏都；海翼0592小区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37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萃英小学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180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桐梓社区、曾林社区（后垵、路山头）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  <w:t>38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后许小学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后许社区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39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第五实验小学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亭洋社区、山亭社区、万科金域缇香、</w:t>
            </w:r>
            <w:r>
              <w:rPr>
                <w:rStyle w:val="5"/>
                <w:rFonts w:hint="default" w:ascii="Times New Roman" w:hAnsi="Times New Roman" w:eastAsia="仿宋_GB2312" w:cs="Times New Roman"/>
                <w:color w:val="auto"/>
                <w:kern w:val="0"/>
                <w:sz w:val="21"/>
                <w:szCs w:val="21"/>
              </w:rPr>
              <w:t>雅居乐·御宾府小区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40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何厝小学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何厝社区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41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火炬实验学校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特房莱昂公馆小区、特房朗玥公馆小区、金茂悦小区、中粮鹭湾祥云小区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42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海滨小学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西炉社区、赵厝社区、同美社区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43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垵边小学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垵边、前庵社区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44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逸夫小学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360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洪溪社区、内官社区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内垵小学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内垵社区（含下庄自然村）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46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内厝中心小学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225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上塘社区（含西塘、上塘、内厝、蔡厝口、顶内田）,霞美村（霞美店、塘头、后坑）、锄山村（大乡、屏乡、松后）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47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黄厝小学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黄厝村（黄厝、东烧尾、莲塘边、周后）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48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鲁藜小学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许厝村（许厝、后房、许山头），后田村（敦后、蔗下、后田）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9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49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光华小学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莲前村（莲前、莲后、蔡塘、东山、斗门、张厝、溪边后、院内）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50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翔东小学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曾厝村（曾厝）,官路村（坝上陈、官路、马池内）,美山村</w:t>
            </w:r>
            <w:r>
              <w:rPr>
                <w:rStyle w:val="5"/>
                <w:rFonts w:hint="eastAsia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（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美山、营上、坝上许、美仙庐）,赵光村（赵光、东界）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51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莲塘小学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莲塘村（莲塘、宏路、东光、店头）,琼坑村（琼坑、花枞）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52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宽裕小学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90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前垵村（小盈、上沙溪、下沙溪、小路边、蔡宅、洋板、美洋、前垵），鸿山村（古山、古店、前宅、林下、黄山前、小光山、内头），后垵村（后垵）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53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大帽山小学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40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大帽山农场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54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新圩学校小学部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7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315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村尾村、面前埔村、新圩社区、龙新居委会、东陵社区下洋、树兜自然村、马塘村、乌山村松管院自然村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3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55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新圩中心小学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eastAsia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eastAsia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225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中澳城小区、上宅村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56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古宅小学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古宅村、后亭村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57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后埔小学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后埔村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58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金柄小学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金柄村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59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凤路小学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凤路村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60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诗坂小学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诗坂村、东寮社区铺内自然村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61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东陵小学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东寮社区（含院西、井上、蒋尾、岩后）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3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62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桂林小学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桂林村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63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庄垵小学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45</w:t>
            </w: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庄垵村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64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金海第二小学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color w:val="auto"/>
                <w:kern w:val="0"/>
                <w:sz w:val="21"/>
                <w:szCs w:val="21"/>
                <w:lang w:eastAsia="zh-CN"/>
              </w:rPr>
              <w:t>招生范围详见《</w:t>
            </w:r>
            <w:r>
              <w:rPr>
                <w:rStyle w:val="5"/>
                <w:rFonts w:hint="default" w:ascii="Times New Roman" w:hAnsi="Times New Roman" w:eastAsia="仿宋_GB2312" w:cs="Times New Roman"/>
                <w:color w:val="auto"/>
                <w:kern w:val="0"/>
                <w:sz w:val="21"/>
                <w:szCs w:val="21"/>
              </w:rPr>
              <w:t>翔安南部新城部分小学2023年秋季划片招生范围一览表</w:t>
            </w:r>
            <w:r>
              <w:rPr>
                <w:rStyle w:val="5"/>
                <w:rFonts w:hint="default" w:ascii="Times New Roman" w:hAnsi="Times New Roman" w:eastAsia="仿宋_GB2312" w:cs="Times New Roman"/>
                <w:color w:val="auto"/>
                <w:kern w:val="0"/>
                <w:sz w:val="21"/>
                <w:szCs w:val="21"/>
                <w:lang w:eastAsia="zh-CN"/>
              </w:rPr>
              <w:t>》（附件</w:t>
            </w:r>
            <w:r>
              <w:rPr>
                <w:rStyle w:val="5"/>
                <w:rFonts w:hint="default" w:ascii="Times New Roman" w:hAnsi="Times New Roman" w:eastAsia="仿宋_GB2312" w:cs="Times New Roman"/>
                <w:color w:val="auto"/>
                <w:kern w:val="0"/>
                <w:sz w:val="21"/>
                <w:szCs w:val="21"/>
                <w:lang w:val="en-US" w:eastAsia="zh-CN"/>
              </w:rPr>
              <w:t>2</w:t>
            </w:r>
            <w:r>
              <w:rPr>
                <w:rStyle w:val="5"/>
                <w:rFonts w:hint="default" w:ascii="Times New Roman" w:hAnsi="Times New Roman" w:eastAsia="仿宋_GB2312" w:cs="Times New Roman"/>
                <w:color w:val="auto"/>
                <w:kern w:val="0"/>
                <w:sz w:val="21"/>
                <w:szCs w:val="21"/>
                <w:lang w:eastAsia="zh-CN"/>
              </w:rPr>
              <w:t>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65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金海小学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40" w:lineRule="auto"/>
              <w:ind w:left="0" w:leftChars="0" w:right="0" w:firstLine="0" w:firstLineChars="0"/>
              <w:jc w:val="left"/>
              <w:textAlignment w:val="auto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66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厦门实小翔安校区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8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360</w:t>
            </w:r>
          </w:p>
        </w:tc>
        <w:tc>
          <w:tcPr>
            <w:tcW w:w="475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67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翔城小学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270</w:t>
            </w:r>
          </w:p>
        </w:tc>
        <w:tc>
          <w:tcPr>
            <w:tcW w:w="4752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68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后村小学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4</w:t>
            </w: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180</w:t>
            </w:r>
          </w:p>
        </w:tc>
        <w:tc>
          <w:tcPr>
            <w:tcW w:w="4752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69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沙美小学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both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沙美社区（暂停招生）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70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刘五店小学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40" w:lineRule="auto"/>
              <w:ind w:left="0" w:leftChars="0" w:right="0" w:firstLine="0" w:firstLineChars="0"/>
              <w:jc w:val="left"/>
              <w:textAlignment w:val="auto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bCs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刘五店社区</w:t>
            </w: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（暂停招生）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71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鸿渐小学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新垵村（暂停招生）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72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帽山小学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乌山村（暂停招生）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73</w:t>
            </w:r>
          </w:p>
        </w:tc>
        <w:tc>
          <w:tcPr>
            <w:tcW w:w="2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云头小学</w:t>
            </w:r>
          </w:p>
        </w:tc>
        <w:tc>
          <w:tcPr>
            <w:tcW w:w="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center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7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wordWrap/>
              <w:adjustRightInd/>
              <w:snapToGrid/>
              <w:spacing w:before="0" w:beforeAutospacing="0" w:after="0" w:afterAutospacing="0" w:line="250" w:lineRule="exact"/>
              <w:ind w:left="0" w:leftChars="0" w:right="0" w:firstLine="0" w:firstLineChars="0"/>
              <w:jc w:val="left"/>
              <w:textAlignment w:val="center"/>
              <w:outlineLvl w:val="9"/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Style w:val="5"/>
                <w:rFonts w:hint="default" w:ascii="Times New Roman" w:hAnsi="Times New Roman" w:eastAsia="仿宋_GB2312" w:cs="Times New Roman"/>
                <w:b w:val="0"/>
                <w:i w:val="0"/>
                <w:caps w:val="0"/>
                <w:color w:val="auto"/>
                <w:spacing w:val="0"/>
                <w:w w:val="100"/>
                <w:kern w:val="0"/>
                <w:sz w:val="21"/>
                <w:szCs w:val="21"/>
                <w:lang w:val="en-US" w:eastAsia="zh-CN" w:bidi="ar-SA"/>
              </w:rPr>
              <w:t>云头村（暂停招生）</w:t>
            </w:r>
          </w:p>
        </w:tc>
      </w:tr>
    </w:tbl>
    <w:p>
      <w:pPr>
        <w:widowControl/>
        <w:snapToGrid/>
        <w:spacing w:before="0" w:beforeAutospacing="0" w:after="0" w:afterAutospacing="0" w:line="240" w:lineRule="auto"/>
        <w:jc w:val="both"/>
        <w:textAlignment w:val="center"/>
        <w:rPr>
          <w:rStyle w:val="5"/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w w:val="100"/>
          <w:kern w:val="0"/>
          <w:sz w:val="22"/>
          <w:szCs w:val="22"/>
          <w:lang w:val="en-US" w:eastAsia="zh-CN" w:bidi="ar-SA"/>
        </w:rPr>
      </w:pPr>
    </w:p>
    <w:p>
      <w:pPr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/>
        <w:jc w:val="both"/>
        <w:textAlignment w:val="center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kern w:val="0"/>
          <w:sz w:val="28"/>
          <w:szCs w:val="28"/>
          <w:lang w:val="en-US" w:eastAsia="zh-CN" w:bidi="ar-SA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kern w:val="0"/>
          <w:sz w:val="28"/>
          <w:szCs w:val="28"/>
          <w:lang w:val="en-US" w:eastAsia="zh-CN" w:bidi="ar-SA"/>
        </w:rPr>
        <w:t>备注：</w:t>
      </w:r>
    </w:p>
    <w:p>
      <w:pPr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center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1.新店街道首开领翔上郡小区在片区学校未建成招生前，符合“两一致”的适龄儿童今年可选择新翔小学或一附小就学，若报名新翔小学“两一致”入学适龄儿童大于该校可提供剩余学位时，则采用摇号的方式，从填报新翔小学的首开领翔上郡片区适龄儿童调剂到一附小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2.新店街道九溪小区、首开龙湖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kern w:val="2"/>
          <w:sz w:val="28"/>
          <w:szCs w:val="28"/>
          <w:lang w:val="en-US" w:eastAsia="zh-CN" w:bidi="ar-SA"/>
        </w:rPr>
        <w:t>·璟宸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府小区在片区学校未建成招生前，符合“两一致”的适龄儿童，今年到进修附小或一附小就学。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3.马巷街道旭辉天樾公馆小区在片区学校未建成招生前，符合“两一致”的适龄儿童可选择到舫山小学就学。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4.凤翔街道东界社区尚未拆迁的宋洋、石塘、洪坑符合“两一致”的适龄儿童，今年到第三实验小学或振南小学就学。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5.金海街道世茂国风宸曦小区</w:t>
      </w:r>
      <w:r>
        <w:rPr>
          <w:rStyle w:val="5"/>
          <w:rFonts w:hint="default" w:ascii="Times New Roman" w:hAnsi="Times New Roman" w:eastAsia="仿宋_GB2312" w:cs="Times New Roman"/>
          <w:color w:val="auto"/>
          <w:sz w:val="28"/>
          <w:szCs w:val="28"/>
        </w:rPr>
        <w:t>在片区学校未建成招生前，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符合“两一致”的适龄儿童，今年到翔城小学就学。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6.新圩镇万科白鹭郡、世茂璀璨天宸小区在片区学校未建成招生前，符合“两一致”的适龄儿童，今年可选择新圩中心小学或新圩学校就学；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7.新圩镇乌山村、云头村、后亭村符合“两一致”的适龄儿童，今年到新圩学校就学。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8.民安街道后莲社区符合“两一致”的适龄儿童，今年可选择到郑坂小学、第五实小或嶝山小学就学。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9.民安街道前</w:t>
      </w:r>
      <w:r>
        <w:rPr>
          <w:rStyle w:val="5"/>
          <w:rFonts w:hint="default" w:ascii="Times New Roman" w:hAnsi="Times New Roman" w:eastAsia="仿宋_GB2312" w:cs="Times New Roman"/>
          <w:b w:val="0"/>
          <w:i w:val="0"/>
          <w:caps w:val="0"/>
          <w:color w:val="auto"/>
          <w:spacing w:val="0"/>
          <w:w w:val="100"/>
          <w:kern w:val="0"/>
          <w:sz w:val="28"/>
          <w:szCs w:val="28"/>
          <w:lang w:val="en-US" w:eastAsia="zh-CN" w:bidi="ar-SA"/>
        </w:rPr>
        <w:t>庵</w:t>
      </w: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社区符合“两一致”的适龄儿童，今年可选择到逸夫小学或垵边小学就学。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10.民安街道西炉社区符合“两一致”的适龄儿童，今年可选择火炬实验学校或海滨小学就学。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11.香山街道沙美社区、霄垄社区符合“两一致”的适龄儿童，今年可选择厦大附属翔安实验学校就学。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12.刘五店小学暂停招生，片区符合“两一致”的适龄儿童，今年可选择第三实小或振南小学报名。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13.鸿渐小学暂停招生，新垵村面前山自然村符合“两一致”的适龄儿童，可选择到内厝中心小学或鲁藜小学就读；新垵、田中央自然村符合“两一致”的适龄儿童，可选择到翔东小学或莲塘小学就读；</w:t>
      </w:r>
    </w:p>
    <w:p>
      <w:pPr>
        <w:pStyle w:val="9"/>
        <w:widowControl/>
        <w:wordWrap/>
        <w:adjustRightInd/>
        <w:snapToGrid/>
        <w:spacing w:before="0" w:beforeAutospacing="0" w:after="0" w:afterAutospacing="0" w:line="440" w:lineRule="exact"/>
        <w:ind w:left="0" w:leftChars="0" w:right="0" w:firstLine="560" w:firstLineChars="200"/>
        <w:jc w:val="both"/>
        <w:textAlignment w:val="baseline"/>
        <w:outlineLvl w:val="9"/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sectPr>
          <w:footerReference r:id="rId3" w:type="default"/>
          <w:pgSz w:w="11906" w:h="16838"/>
          <w:pgMar w:top="2098" w:right="1474" w:bottom="1984" w:left="1587" w:header="851" w:footer="1587" w:gutter="0"/>
          <w:lnNumType w:countBy="0"/>
          <w:pgNumType w:fmt="numberInDash"/>
          <w:cols w:space="720" w:num="1"/>
          <w:titlePg/>
          <w:docGrid w:type="lines" w:linePitch="327" w:charSpace="0"/>
        </w:sectPr>
      </w:pPr>
      <w:r>
        <w:rPr>
          <w:rStyle w:val="5"/>
          <w:rFonts w:hint="default" w:ascii="Times New Roman" w:hAnsi="Times New Roman" w:eastAsia="仿宋_GB2312" w:cs="Times New Roman"/>
          <w:b w:val="0"/>
          <w:bCs w:val="0"/>
          <w:i w:val="0"/>
          <w:caps w:val="0"/>
          <w:color w:val="auto"/>
          <w:spacing w:val="0"/>
          <w:w w:val="100"/>
          <w:sz w:val="28"/>
          <w:szCs w:val="28"/>
          <w:lang w:val="en-US" w:eastAsia="zh-CN"/>
        </w:rPr>
        <w:t>以上社区及楼盘适龄儿童家长应于2023年7月9日至10日到申请就读学校报名，逾期视为放弃统筹学位资格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81"/>
    <w:family w:val="auto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idowControl/>
      <w:snapToGrid w:val="0"/>
      <w:jc w:val="left"/>
      <w:textAlignment w:val="baseline"/>
      <w:rPr>
        <w:rStyle w:val="5"/>
        <w:kern w:val="2"/>
        <w:sz w:val="18"/>
        <w:szCs w:val="18"/>
        <w:lang w:val="en-US" w:eastAsia="zh-CN" w:bidi="ar-SA"/>
      </w:rPr>
    </w:pPr>
    <w:r>
      <w:rPr>
        <w:rFonts w:ascii="Calibri" w:hAnsi="Calibri" w:eastAsia="宋体" w:cs="黑体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t>- 3 -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t>- 3 -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  <w:r>
      <w:rPr>
        <w:rFonts w:ascii="Verdana" w:hAnsi="Verdana" w:eastAsia="宋体" w:cs="黑体"/>
        <w:kern w:val="2"/>
        <w:sz w:val="18"/>
        <w:szCs w:val="18"/>
        <w:lang w:val="en-US" w:eastAsia="zh-CN" w:bidi="ar-SA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矩形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jc w:val="both"/>
                            <w:textAlignment w:val="baseline"/>
                            <w:rPr>
                              <w:rStyle w:val="5"/>
                              <w:rFonts w:eastAsia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</w:p>
                        <w:p>
                          <w:pPr>
                            <w:widowControl/>
                            <w:textAlignment w:val="baseline"/>
                            <w:rPr>
                              <w:rStyle w:val="5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top:0pt;height:144pt;width:144pt;mso-position-horizontal:outside;mso-position-horizontal-relative:margin;z-index:251662336;mso-width-relative:page;mso-height-relative:page;" filled="f" stroked="f" coordsize="21600,21600" o:gfxdata="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jc w:val="both"/>
                      <w:textAlignment w:val="baseline"/>
                      <w:rPr>
                        <w:rStyle w:val="5"/>
                        <w:rFonts w:eastAsia="宋体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</w:p>
                  <w:p>
                    <w:pPr>
                      <w:widowControl/>
                      <w:textAlignment w:val="baseline"/>
                      <w:rPr>
                        <w:rStyle w:val="5"/>
                      </w:rPr>
                    </w:pP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EA5F18"/>
    <w:rsid w:val="0C745D0A"/>
    <w:rsid w:val="20EA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  <w:textAlignment w:val="baseline"/>
    </w:pPr>
    <w:rPr>
      <w:kern w:val="2"/>
      <w:sz w:val="18"/>
      <w:szCs w:val="18"/>
      <w:lang w:val="en-US" w:eastAsia="zh-CN" w:bidi="ar-SA"/>
    </w:rPr>
  </w:style>
  <w:style w:type="character" w:customStyle="1" w:styleId="5">
    <w:name w:val="NormalCharacter"/>
    <w:link w:val="6"/>
    <w:semiHidden/>
    <w:qFormat/>
    <w:uiPriority w:val="0"/>
    <w:rPr>
      <w:rFonts w:ascii="Verdana" w:hAnsi="Verdana"/>
      <w:kern w:val="0"/>
      <w:sz w:val="20"/>
      <w:szCs w:val="20"/>
      <w:lang w:val="en-US" w:eastAsia="en-US" w:bidi="ar-SA"/>
    </w:rPr>
  </w:style>
  <w:style w:type="paragraph" w:customStyle="1" w:styleId="6">
    <w:name w:val="UserStyle_1"/>
    <w:basedOn w:val="1"/>
    <w:link w:val="5"/>
    <w:qFormat/>
    <w:uiPriority w:val="0"/>
    <w:pPr>
      <w:widowControl/>
      <w:spacing w:after="160" w:line="240" w:lineRule="exact"/>
      <w:jc w:val="left"/>
      <w:textAlignment w:val="baseline"/>
    </w:pPr>
    <w:rPr>
      <w:rFonts w:ascii="Verdana" w:hAnsi="Verdana"/>
      <w:kern w:val="0"/>
      <w:sz w:val="20"/>
      <w:szCs w:val="20"/>
      <w:lang w:val="en-US" w:eastAsia="en-US" w:bidi="ar-SA"/>
    </w:rPr>
  </w:style>
  <w:style w:type="character" w:customStyle="1" w:styleId="7">
    <w:name w:val="UserStyle_3"/>
    <w:basedOn w:val="5"/>
    <w:qFormat/>
    <w:uiPriority w:val="0"/>
    <w:rPr>
      <w:rFonts w:ascii="仿宋_GB2312" w:hAnsi="Verdana" w:eastAsia="仿宋_GB2312"/>
      <w:color w:val="000000"/>
      <w:kern w:val="0"/>
      <w:sz w:val="21"/>
      <w:szCs w:val="21"/>
      <w:lang w:eastAsia="en-US"/>
    </w:rPr>
  </w:style>
  <w:style w:type="character" w:customStyle="1" w:styleId="8">
    <w:name w:val="UserStyle_2"/>
    <w:basedOn w:val="5"/>
    <w:qFormat/>
    <w:uiPriority w:val="0"/>
    <w:rPr>
      <w:rFonts w:ascii="宋体" w:hAnsi="宋体" w:eastAsia="宋体"/>
      <w:color w:val="000000"/>
      <w:kern w:val="0"/>
      <w:sz w:val="21"/>
      <w:szCs w:val="21"/>
      <w:lang w:eastAsia="en-US"/>
    </w:rPr>
  </w:style>
  <w:style w:type="paragraph" w:customStyle="1" w:styleId="9">
    <w:name w:val="UserStyle_0"/>
    <w:basedOn w:val="1"/>
    <w:qFormat/>
    <w:uiPriority w:val="0"/>
    <w:pPr>
      <w:jc w:val="both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2023-06-05T04:48:00Z</dcterms:created>
  <dc:creator>SDLCWA;44230;F;22b5ff7c1356e5db0996a81079f0849f</dc:creator>
  <cp:lastModifiedBy>SDLCWA;44230;F;22b5ff7c1356e5db0996a81079f0849f</cp:lastModifiedBy>
  <dcterms:modified xsi:type="dcterms:W3CDTF">2023-06-05T04:55:52Z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