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widowControl/>
        <w:snapToGrid/>
        <w:spacing w:before="0" w:beforeAutospacing="0" w:after="0" w:afterAutospacing="0" w:line="400" w:lineRule="exact"/>
        <w:jc w:val="both"/>
        <w:textAlignment w:val="baseline"/>
        <w:rPr>
          <w:rStyle w:val="6"/>
          <w:rFonts w:hint="default" w:ascii="Times New Roman" w:hAnsi="Times New Roman" w:eastAsia="方正小标宋简体" w:cs="Times New Roman"/>
          <w:b w:val="0"/>
          <w:i w:val="0"/>
          <w:caps w:val="0"/>
          <w:color w:val="auto"/>
          <w:spacing w:val="0"/>
          <w:w w:val="100"/>
          <w:sz w:val="32"/>
          <w:szCs w:val="32"/>
          <w:lang w:val="en-US" w:eastAsia="zh-CN"/>
        </w:rPr>
      </w:pPr>
      <w:bookmarkStart w:id="0" w:name="_GoBack"/>
      <w:bookmarkEnd w:id="0"/>
      <w:r>
        <w:rPr>
          <w:rStyle w:val="6"/>
          <w:rFonts w:hint="default" w:ascii="Times New Roman" w:hAnsi="Times New Roman" w:eastAsia="方正小标宋简体" w:cs="Times New Roman"/>
          <w:b w:val="0"/>
          <w:i w:val="0"/>
          <w:caps w:val="0"/>
          <w:color w:val="auto"/>
          <w:spacing w:val="0"/>
          <w:w w:val="100"/>
          <w:sz w:val="32"/>
          <w:szCs w:val="32"/>
          <w:lang w:eastAsia="zh-CN"/>
        </w:rPr>
        <w:t>附件</w:t>
      </w:r>
      <w:r>
        <w:rPr>
          <w:rStyle w:val="6"/>
          <w:rFonts w:hint="default" w:ascii="Times New Roman" w:hAnsi="Times New Roman" w:eastAsia="方正小标宋简体" w:cs="Times New Roman"/>
          <w:b w:val="0"/>
          <w:i w:val="0"/>
          <w:caps w:val="0"/>
          <w:color w:val="auto"/>
          <w:spacing w:val="0"/>
          <w:w w:val="100"/>
          <w:sz w:val="32"/>
          <w:szCs w:val="32"/>
          <w:lang w:val="en-US" w:eastAsia="zh-CN"/>
        </w:rPr>
        <w:t xml:space="preserve">2 </w:t>
      </w:r>
    </w:p>
    <w:p>
      <w:pPr>
        <w:snapToGrid/>
        <w:spacing w:before="0" w:beforeAutospacing="0" w:after="0" w:afterAutospacing="0" w:line="240" w:lineRule="auto"/>
        <w:jc w:val="center"/>
        <w:textAlignment w:val="baseline"/>
        <w:rPr>
          <w:rStyle w:val="6"/>
          <w:rFonts w:hint="default" w:ascii="Times New Roman" w:hAnsi="Times New Roman" w:eastAsia="方正小标宋简体" w:cs="Times New Roman"/>
          <w:b w:val="0"/>
          <w:i w:val="0"/>
          <w:caps w:val="0"/>
          <w:color w:val="auto"/>
          <w:spacing w:val="0"/>
          <w:w w:val="100"/>
          <w:kern w:val="2"/>
          <w:sz w:val="36"/>
          <w:szCs w:val="36"/>
          <w:lang w:val="en-US" w:eastAsia="zh-CN" w:bidi="ar-SA"/>
        </w:rPr>
      </w:pPr>
      <w:r>
        <w:rPr>
          <w:rStyle w:val="6"/>
          <w:rFonts w:hint="default" w:ascii="Times New Roman" w:hAnsi="Times New Roman" w:eastAsia="方正小标宋简体" w:cs="Times New Roman"/>
          <w:b w:val="0"/>
          <w:i w:val="0"/>
          <w:caps w:val="0"/>
          <w:color w:val="auto"/>
          <w:spacing w:val="0"/>
          <w:w w:val="100"/>
          <w:kern w:val="2"/>
          <w:sz w:val="36"/>
          <w:szCs w:val="36"/>
          <w:lang w:val="en-US" w:eastAsia="zh-CN" w:bidi="ar-SA"/>
        </w:rPr>
        <w:t>翔安南部新城部分小学2023年秋季划片招生范围一览表</w:t>
      </w:r>
    </w:p>
    <w:tbl>
      <w:tblPr>
        <w:tblStyle w:val="3"/>
        <w:tblW w:w="12887"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49"/>
        <w:gridCol w:w="710"/>
        <w:gridCol w:w="3176"/>
        <w:gridCol w:w="2523"/>
        <w:gridCol w:w="58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4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6"/>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bCs/>
                <w:i w:val="0"/>
                <w:caps w:val="0"/>
                <w:color w:val="auto"/>
                <w:spacing w:val="0"/>
                <w:w w:val="100"/>
                <w:kern w:val="2"/>
                <w:sz w:val="24"/>
                <w:szCs w:val="24"/>
                <w:lang w:val="en-US" w:eastAsia="zh-CN" w:bidi="ar-SA"/>
              </w:rPr>
              <w:t>序号</w:t>
            </w:r>
          </w:p>
        </w:tc>
        <w:tc>
          <w:tcPr>
            <w:tcW w:w="7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6"/>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bCs/>
                <w:i w:val="0"/>
                <w:caps w:val="0"/>
                <w:color w:val="auto"/>
                <w:spacing w:val="0"/>
                <w:w w:val="100"/>
                <w:kern w:val="2"/>
                <w:sz w:val="24"/>
                <w:szCs w:val="24"/>
                <w:lang w:val="en-US" w:eastAsia="zh-CN" w:bidi="ar-SA"/>
              </w:rPr>
              <w:t>学校</w:t>
            </w:r>
          </w:p>
        </w:tc>
        <w:tc>
          <w:tcPr>
            <w:tcW w:w="31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6"/>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bCs/>
                <w:i w:val="0"/>
                <w:caps w:val="0"/>
                <w:color w:val="auto"/>
                <w:spacing w:val="0"/>
                <w:w w:val="100"/>
                <w:kern w:val="2"/>
                <w:sz w:val="24"/>
                <w:szCs w:val="24"/>
                <w:lang w:val="en-US" w:eastAsia="zh-CN" w:bidi="ar-SA"/>
              </w:rPr>
              <w:t>主片区</w:t>
            </w:r>
          </w:p>
        </w:tc>
        <w:tc>
          <w:tcPr>
            <w:tcW w:w="252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6"/>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bCs/>
                <w:i w:val="0"/>
                <w:caps w:val="0"/>
                <w:color w:val="auto"/>
                <w:spacing w:val="0"/>
                <w:w w:val="100"/>
                <w:kern w:val="2"/>
                <w:sz w:val="24"/>
                <w:szCs w:val="24"/>
                <w:lang w:val="en-US" w:eastAsia="zh-CN" w:bidi="ar-SA"/>
              </w:rPr>
              <w:t>多校派位片区</w:t>
            </w:r>
          </w:p>
        </w:tc>
        <w:tc>
          <w:tcPr>
            <w:tcW w:w="582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80" w:lineRule="exact"/>
              <w:jc w:val="center"/>
              <w:textAlignment w:val="baseline"/>
              <w:rPr>
                <w:rStyle w:val="6"/>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bCs/>
                <w:i w:val="0"/>
                <w:caps w:val="0"/>
                <w:color w:val="auto"/>
                <w:spacing w:val="0"/>
                <w:w w:val="100"/>
                <w:kern w:val="2"/>
                <w:sz w:val="24"/>
                <w:szCs w:val="24"/>
                <w:lang w:val="en-US" w:eastAsia="zh-CN" w:bidi="ar-SA"/>
              </w:rPr>
              <w:t>多校划片招生说明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4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1</w:t>
            </w:r>
          </w:p>
        </w:tc>
        <w:tc>
          <w:tcPr>
            <w:tcW w:w="7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金海</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第二</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小学</w:t>
            </w:r>
          </w:p>
        </w:tc>
        <w:tc>
          <w:tcPr>
            <w:tcW w:w="31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第一区（翔安大道以东，洪钟大道以西，翔安南路以南，金泉路以北区域）</w:t>
            </w:r>
          </w:p>
        </w:tc>
        <w:tc>
          <w:tcPr>
            <w:tcW w:w="252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第二区（新澳路以东，洪钟大道以西，金泉路以南，洞庭路以北区域）</w:t>
            </w:r>
          </w:p>
        </w:tc>
        <w:tc>
          <w:tcPr>
            <w:tcW w:w="582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完成主片区招生任务后的剩余学位，面向南部新城第二区招生，即剩余学位接受第二区中符合第一区招生派位条件的适龄儿童自愿报名，采用随机派位方式确定录取名单。未被金海二小招收的适龄儿童，仍回金海小学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4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2</w:t>
            </w:r>
          </w:p>
        </w:tc>
        <w:tc>
          <w:tcPr>
            <w:tcW w:w="7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金海</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小学</w:t>
            </w:r>
          </w:p>
        </w:tc>
        <w:tc>
          <w:tcPr>
            <w:tcW w:w="31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第二区（新澳路以东，洪钟大道以西，金泉路以南，洞庭路以北区域）；</w:t>
            </w:r>
          </w:p>
          <w:p>
            <w:pPr>
              <w:snapToGrid/>
              <w:spacing w:before="0" w:beforeAutospacing="0" w:after="0" w:afterAutospacing="0" w:line="360" w:lineRule="exact"/>
              <w:ind w:firstLine="240" w:firstLineChars="1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招收鼓锣社区、前浯社区、钟宅社区、浦边社区符合“两一致”适龄儿童。</w:t>
            </w:r>
          </w:p>
        </w:tc>
        <w:tc>
          <w:tcPr>
            <w:tcW w:w="252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p>
        </w:tc>
        <w:tc>
          <w:tcPr>
            <w:tcW w:w="582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4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3</w:t>
            </w:r>
          </w:p>
        </w:tc>
        <w:tc>
          <w:tcPr>
            <w:tcW w:w="7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厦门</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实小</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翔安</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校区</w:t>
            </w:r>
          </w:p>
        </w:tc>
        <w:tc>
          <w:tcPr>
            <w:tcW w:w="31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第三区（洪钟大道以东，浦滨路及向北延伸至鸿翔北路以西，鸿翔北路以南，洞庭路以北区域）</w:t>
            </w:r>
          </w:p>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招收浦边社区因实小翔安校区建设中被征地的1、2、5、6村民小组原住民直系子女。</w:t>
            </w:r>
          </w:p>
        </w:tc>
        <w:tc>
          <w:tcPr>
            <w:tcW w:w="252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第四区（浦滨路及向北延伸至鸿翔北路以东，翔安东路以西，鸿翔北路以南，洞庭路以北区域）</w:t>
            </w:r>
          </w:p>
          <w:p>
            <w:pPr>
              <w:snapToGrid/>
              <w:spacing w:before="0" w:beforeAutospacing="0" w:after="0" w:afterAutospacing="0" w:line="360" w:lineRule="exact"/>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p>
        </w:tc>
        <w:tc>
          <w:tcPr>
            <w:tcW w:w="582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完成主片区招生任务后的剩余学位，按照以下次序，采用自愿报名、随机摇号的办法补充生源：</w:t>
            </w:r>
          </w:p>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1.接受浦滨路向北延伸至鸿翔北路以东，翔安东路以西，鸿翔北路以南，金泉路以北区域主干道内片区内符合招生条件的适龄儿童报名；</w:t>
            </w:r>
          </w:p>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2.完成上述招生仍有剩余学位的前提下，接受浦滨路以东，翔安东路以西，金泉路以南，洞庭路以北主干道内片区内符合招生条件的适龄儿童报名。</w:t>
            </w:r>
          </w:p>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当上述同一次序类别内适龄儿童报名人数超出剩余学位时，采用随机派位确定录取名单。</w:t>
            </w:r>
          </w:p>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第四区配建学校建成招生前，区域范围内符合“两一致”的适龄儿童到厦门实验小学翔安校区就读。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4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4</w:t>
            </w:r>
          </w:p>
        </w:tc>
        <w:tc>
          <w:tcPr>
            <w:tcW w:w="7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翔城</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小学</w:t>
            </w:r>
          </w:p>
        </w:tc>
        <w:tc>
          <w:tcPr>
            <w:tcW w:w="31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第五区（新澳路以东，洪钟大道以西，洞庭路以南，蓬莱路以北区域）</w:t>
            </w:r>
          </w:p>
          <w:p>
            <w:pPr>
              <w:snapToGrid/>
              <w:spacing w:before="0" w:beforeAutospacing="0" w:after="0" w:afterAutospacing="0" w:line="360" w:lineRule="exact"/>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p>
        </w:tc>
        <w:tc>
          <w:tcPr>
            <w:tcW w:w="252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第六区（洪钟大道以东，金海路以西，洞庭路以南，蓬莱路以北区域）</w:t>
            </w:r>
          </w:p>
        </w:tc>
        <w:tc>
          <w:tcPr>
            <w:tcW w:w="5829" w:type="dxa"/>
            <w:tcBorders>
              <w:top w:val="single" w:color="000000" w:sz="4" w:space="0"/>
              <w:left w:val="single" w:color="000000" w:sz="4" w:space="0"/>
              <w:bottom w:val="single" w:color="000000" w:sz="4" w:space="0"/>
              <w:right w:val="single" w:color="000000" w:sz="4" w:space="0"/>
            </w:tcBorders>
            <w:vAlign w:val="center"/>
          </w:tcPr>
          <w:p>
            <w:pPr>
              <w:pStyle w:val="5"/>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0"/>
                <w:sz w:val="24"/>
                <w:szCs w:val="24"/>
                <w:lang w:val="en-US" w:eastAsia="zh-CN"/>
              </w:rPr>
            </w:pPr>
            <w:r>
              <w:rPr>
                <w:rStyle w:val="6"/>
                <w:rFonts w:hint="default" w:ascii="Times New Roman" w:hAnsi="Times New Roman" w:eastAsia="仿宋_GB2312" w:cs="Times New Roman"/>
                <w:b w:val="0"/>
                <w:i w:val="0"/>
                <w:caps w:val="0"/>
                <w:color w:val="auto"/>
                <w:spacing w:val="0"/>
                <w:w w:val="100"/>
                <w:sz w:val="24"/>
                <w:szCs w:val="24"/>
              </w:rPr>
              <w:t>完成主片区招生</w:t>
            </w:r>
            <w:r>
              <w:rPr>
                <w:rStyle w:val="6"/>
                <w:rFonts w:hint="default" w:ascii="Times New Roman" w:hAnsi="Times New Roman" w:eastAsia="仿宋_GB2312" w:cs="Times New Roman"/>
                <w:b w:val="0"/>
                <w:i w:val="0"/>
                <w:caps w:val="0"/>
                <w:color w:val="auto"/>
                <w:spacing w:val="0"/>
                <w:w w:val="100"/>
                <w:sz w:val="24"/>
                <w:szCs w:val="24"/>
                <w:lang w:eastAsia="zh-CN"/>
              </w:rPr>
              <w:t>任务</w:t>
            </w:r>
            <w:r>
              <w:rPr>
                <w:rStyle w:val="6"/>
                <w:rFonts w:hint="default" w:ascii="Times New Roman" w:hAnsi="Times New Roman" w:eastAsia="仿宋_GB2312" w:cs="Times New Roman"/>
                <w:b w:val="0"/>
                <w:i w:val="0"/>
                <w:caps w:val="0"/>
                <w:color w:val="auto"/>
                <w:spacing w:val="0"/>
                <w:w w:val="100"/>
                <w:sz w:val="24"/>
                <w:szCs w:val="24"/>
              </w:rPr>
              <w:t>后的剩余学位，</w:t>
            </w:r>
            <w:r>
              <w:rPr>
                <w:rStyle w:val="6"/>
                <w:rFonts w:hint="default" w:ascii="Times New Roman" w:hAnsi="Times New Roman" w:eastAsia="仿宋_GB2312" w:cs="Times New Roman"/>
                <w:b w:val="0"/>
                <w:i w:val="0"/>
                <w:caps w:val="0"/>
                <w:color w:val="auto"/>
                <w:spacing w:val="0"/>
                <w:w w:val="100"/>
                <w:kern w:val="0"/>
                <w:sz w:val="24"/>
                <w:szCs w:val="24"/>
                <w:lang w:val="en-US" w:eastAsia="zh-CN"/>
              </w:rPr>
              <w:t>面向南部新城第六区招生，即剩余学位接受第六区中符合第五区招生派位条件的适龄儿童自愿报名，采用随机派位方式确定录取名单。未被翔城小学招收的适龄儿童，仍回第六区学校就读。</w:t>
            </w:r>
          </w:p>
          <w:p>
            <w:pPr>
              <w:pStyle w:val="5"/>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sz w:val="24"/>
                <w:szCs w:val="24"/>
              </w:rPr>
            </w:pPr>
            <w:r>
              <w:rPr>
                <w:rStyle w:val="6"/>
                <w:rFonts w:hint="default" w:ascii="Times New Roman" w:hAnsi="Times New Roman" w:eastAsia="仿宋_GB2312" w:cs="Times New Roman"/>
                <w:b w:val="0"/>
                <w:i w:val="0"/>
                <w:caps w:val="0"/>
                <w:color w:val="auto"/>
                <w:spacing w:val="0"/>
                <w:w w:val="100"/>
                <w:kern w:val="0"/>
                <w:sz w:val="24"/>
                <w:szCs w:val="24"/>
                <w:lang w:val="en-US" w:eastAsia="zh-CN"/>
              </w:rPr>
              <w:t>第六区配建学校建成招生前，区域范围内符合“两一致”的适龄儿童到翔城小学就读。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jc w:val="center"/>
        </w:trPr>
        <w:tc>
          <w:tcPr>
            <w:tcW w:w="64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5</w:t>
            </w:r>
          </w:p>
        </w:tc>
        <w:tc>
          <w:tcPr>
            <w:tcW w:w="710"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后村</w:t>
            </w:r>
          </w:p>
          <w:p>
            <w:pPr>
              <w:snapToGrid/>
              <w:spacing w:before="0" w:beforeAutospacing="0" w:after="0" w:afterAutospacing="0" w:line="360" w:lineRule="exact"/>
              <w:jc w:val="center"/>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小学</w:t>
            </w:r>
          </w:p>
        </w:tc>
        <w:tc>
          <w:tcPr>
            <w:tcW w:w="3176"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t>第七区（金海路以东，翔安东路以西，洞庭路以南，蓬莱路以北区域）</w:t>
            </w:r>
          </w:p>
        </w:tc>
        <w:tc>
          <w:tcPr>
            <w:tcW w:w="252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2"/>
                <w:sz w:val="24"/>
                <w:szCs w:val="24"/>
                <w:lang w:val="en-US" w:eastAsia="zh-CN" w:bidi="ar-SA"/>
              </w:rPr>
            </w:pPr>
          </w:p>
        </w:tc>
        <w:tc>
          <w:tcPr>
            <w:tcW w:w="5829"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60" w:lineRule="exact"/>
              <w:ind w:firstLine="480" w:firstLineChars="200"/>
              <w:jc w:val="both"/>
              <w:textAlignment w:val="baseline"/>
              <w:rPr>
                <w:rStyle w:val="6"/>
                <w:rFonts w:hint="default" w:ascii="Times New Roman" w:hAnsi="Times New Roman" w:eastAsia="仿宋_GB2312" w:cs="Times New Roman"/>
                <w:b w:val="0"/>
                <w:i w:val="0"/>
                <w:caps w:val="0"/>
                <w:color w:val="auto"/>
                <w:spacing w:val="0"/>
                <w:w w:val="100"/>
                <w:kern w:val="0"/>
                <w:sz w:val="24"/>
                <w:szCs w:val="24"/>
                <w:lang w:val="en-US" w:eastAsia="zh-CN" w:bidi="ar-SA"/>
              </w:rPr>
            </w:pPr>
            <w:r>
              <w:rPr>
                <w:rStyle w:val="6"/>
                <w:rFonts w:hint="default" w:ascii="Times New Roman" w:hAnsi="Times New Roman" w:eastAsia="仿宋_GB2312" w:cs="Times New Roman"/>
                <w:b w:val="0"/>
                <w:i w:val="0"/>
                <w:caps w:val="0"/>
                <w:color w:val="auto"/>
                <w:spacing w:val="0"/>
                <w:w w:val="100"/>
                <w:kern w:val="0"/>
                <w:sz w:val="24"/>
                <w:szCs w:val="24"/>
                <w:lang w:val="en-US" w:eastAsia="zh-CN" w:bidi="ar-SA"/>
              </w:rPr>
              <w:t>在新后村小学（暂定名）建成投入使用后，金海路以东，翔安东路以西，洞庭路以南，蓬莱路以北的片区符合“两一致”适龄儿童纳入新后村小学（暂定名）招生范围。</w:t>
            </w:r>
          </w:p>
        </w:tc>
      </w:tr>
    </w:tbl>
    <w:p>
      <w:pPr>
        <w:pStyle w:val="5"/>
        <w:widowControl/>
        <w:snapToGrid/>
        <w:spacing w:before="0" w:beforeAutospacing="0" w:after="0" w:afterAutospacing="0" w:line="240" w:lineRule="auto"/>
        <w:jc w:val="both"/>
        <w:textAlignment w:val="baseline"/>
        <w:rPr>
          <w:rStyle w:val="6"/>
          <w:rFonts w:hint="default" w:ascii="Times New Roman" w:hAnsi="Times New Roman" w:eastAsia="仿宋_GB2312" w:cs="Times New Roman"/>
          <w:b w:val="0"/>
          <w:i w:val="0"/>
          <w:caps w:val="0"/>
          <w:color w:val="auto"/>
          <w:spacing w:val="0"/>
          <w:w w:val="100"/>
          <w:kern w:val="2"/>
          <w:sz w:val="32"/>
          <w:szCs w:val="32"/>
          <w:lang w:val="en-US" w:eastAsia="zh-CN" w:bidi="ar-SA"/>
        </w:rPr>
      </w:pPr>
    </w:p>
    <w:p>
      <w:pPr>
        <w:pStyle w:val="5"/>
        <w:widowControl/>
        <w:snapToGrid/>
        <w:spacing w:before="0" w:beforeAutospacing="0" w:after="0" w:afterAutospacing="0" w:line="240" w:lineRule="auto"/>
        <w:jc w:val="both"/>
        <w:textAlignment w:val="baseline"/>
        <w:rPr>
          <w:rStyle w:val="6"/>
          <w:rFonts w:hint="default" w:ascii="Times New Roman" w:hAnsi="Times New Roman" w:eastAsia="仿宋_GB2312" w:cs="Times New Roman"/>
          <w:b w:val="0"/>
          <w:i w:val="0"/>
          <w:caps w:val="0"/>
          <w:color w:val="auto"/>
          <w:spacing w:val="0"/>
          <w:w w:val="100"/>
          <w:kern w:val="2"/>
          <w:sz w:val="32"/>
          <w:szCs w:val="32"/>
          <w:lang w:val="en-US" w:eastAsia="zh-CN" w:bidi="ar-SA"/>
        </w:rPr>
      </w:pPr>
    </w:p>
    <w:p>
      <w:pPr>
        <w:pStyle w:val="5"/>
        <w:widowControl/>
        <w:snapToGrid/>
        <w:spacing w:before="0" w:beforeAutospacing="0" w:after="0" w:afterAutospacing="0" w:line="240" w:lineRule="auto"/>
        <w:jc w:val="both"/>
        <w:textAlignment w:val="baseline"/>
        <w:rPr>
          <w:rStyle w:val="6"/>
          <w:rFonts w:hint="default" w:ascii="Times New Roman" w:hAnsi="Times New Roman" w:eastAsia="仿宋_GB2312" w:cs="Times New Roman"/>
          <w:b w:val="0"/>
          <w:i w:val="0"/>
          <w:caps w:val="0"/>
          <w:color w:val="auto"/>
          <w:spacing w:val="0"/>
          <w:w w:val="100"/>
          <w:kern w:val="2"/>
          <w:sz w:val="32"/>
          <w:szCs w:val="32"/>
          <w:lang w:val="en-US" w:eastAsia="zh-CN" w:bidi="ar-SA"/>
        </w:rPr>
      </w:pPr>
    </w:p>
    <w:p/>
    <w:sectPr>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81"/>
    <w:family w:val="auto"/>
    <w:pitch w:val="default"/>
    <w:sig w:usb0="A10006FF" w:usb1="4000205B" w:usb2="0000001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598507C"/>
    <w:rsid w:val="039E79F2"/>
    <w:rsid w:val="459850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Calibri" w:hAnsi="Calibri" w:eastAsia="宋体" w:cs="黑体"/>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textAlignment w:val="baseline"/>
    </w:pPr>
    <w:rPr>
      <w:kern w:val="2"/>
      <w:sz w:val="18"/>
      <w:szCs w:val="18"/>
      <w:lang w:val="en-US" w:eastAsia="zh-CN" w:bidi="ar-SA"/>
    </w:rPr>
  </w:style>
  <w:style w:type="paragraph" w:customStyle="1" w:styleId="5">
    <w:name w:val="UserStyle_0"/>
    <w:basedOn w:val="1"/>
    <w:qFormat/>
    <w:uiPriority w:val="0"/>
    <w:pPr>
      <w:jc w:val="both"/>
      <w:textAlignment w:val="baseline"/>
    </w:pPr>
  </w:style>
  <w:style w:type="character" w:customStyle="1" w:styleId="6">
    <w:name w:val="NormalCharacter"/>
    <w:link w:val="7"/>
    <w:semiHidden/>
    <w:qFormat/>
    <w:uiPriority w:val="0"/>
    <w:rPr>
      <w:rFonts w:ascii="Verdana" w:hAnsi="Verdana"/>
      <w:kern w:val="0"/>
      <w:sz w:val="20"/>
      <w:szCs w:val="20"/>
      <w:lang w:val="en-US" w:eastAsia="en-US" w:bidi="ar-SA"/>
    </w:rPr>
  </w:style>
  <w:style w:type="paragraph" w:customStyle="1" w:styleId="7">
    <w:name w:val="UserStyle_1"/>
    <w:basedOn w:val="1"/>
    <w:link w:val="6"/>
    <w:qFormat/>
    <w:uiPriority w:val="0"/>
    <w:pPr>
      <w:widowControl/>
      <w:spacing w:after="160" w:line="240" w:lineRule="exact"/>
      <w:jc w:val="left"/>
      <w:textAlignment w:val="baseline"/>
    </w:pPr>
    <w:rPr>
      <w:rFonts w:ascii="Verdana" w:hAnsi="Verdana"/>
      <w:kern w:val="0"/>
      <w:sz w:val="20"/>
      <w:szCs w:val="20"/>
      <w:lang w:val="en-US" w:eastAsia="en-US"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0</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2023-06-05T04:49:00Z</dcterms:created>
  <dc:creator>SDLCWA;44230;F;22b5ff7c1356e5db0996a81079f0849f</dc:creator>
  <cp:lastModifiedBy>SDLCWA;44230;F;22b5ff7c1356e5db0996a81079f0849f</cp:lastModifiedBy>
  <dcterms:modified xsi:type="dcterms:W3CDTF">2023-06-05T04:56:17Z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