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right"/>
        <w:rPr>
          <w:rFonts w:hint="default" w:ascii="Times New Roman" w:hAnsi="Times New Roman" w:eastAsia="仿宋_GB2312" w:cs="Times New Roman"/>
          <w:sz w:val="28"/>
          <w:szCs w:val="28"/>
          <w:lang w:val="en-US" w:eastAsia="zh-CN"/>
        </w:rPr>
      </w:pPr>
    </w:p>
    <w:p>
      <w:pPr>
        <w:spacing w:line="560" w:lineRule="exact"/>
        <w:rPr>
          <w:rFonts w:hint="default" w:ascii="Times New Roman" w:hAnsi="Times New Roman" w:eastAsia="仿宋_GB2312" w:cs="Times New Roman"/>
          <w:sz w:val="32"/>
        </w:rPr>
      </w:pPr>
    </w:p>
    <w:p>
      <w:pPr>
        <w:spacing w:line="560" w:lineRule="exact"/>
        <w:rPr>
          <w:rFonts w:hint="default" w:ascii="Times New Roman" w:hAnsi="Times New Roman" w:eastAsia="仿宋_GB2312" w:cs="Times New Roman"/>
          <w:sz w:val="32"/>
        </w:rPr>
      </w:pPr>
    </w:p>
    <w:p>
      <w:pPr>
        <w:spacing w:before="312" w:beforeLines="100" w:line="1080" w:lineRule="exact"/>
        <w:jc w:val="center"/>
        <w:rPr>
          <w:rFonts w:hint="default" w:ascii="Times New Roman" w:hAnsi="Times New Roman" w:eastAsia="方正小标宋简体" w:cs="Times New Roman"/>
          <w:color w:val="FF0000"/>
          <w:spacing w:val="-20"/>
          <w:w w:val="58"/>
          <w:sz w:val="108"/>
          <w:szCs w:val="108"/>
        </w:rPr>
      </w:pPr>
      <w:r>
        <w:rPr>
          <w:rFonts w:hint="default" w:ascii="Times New Roman" w:hAnsi="Times New Roman" w:eastAsia="方正小标宋简体" w:cs="Times New Roman"/>
          <w:color w:val="FF0000"/>
          <w:spacing w:val="99"/>
          <w:w w:val="58"/>
          <w:kern w:val="0"/>
          <w:sz w:val="108"/>
          <w:szCs w:val="108"/>
          <w:fitText w:val="8850" w:id="0"/>
        </w:rPr>
        <w:t>厦门市翔安区教育局文</w:t>
      </w:r>
      <w:r>
        <w:rPr>
          <w:rFonts w:hint="default" w:ascii="Times New Roman" w:hAnsi="Times New Roman" w:eastAsia="方正小标宋简体" w:cs="Times New Roman"/>
          <w:color w:val="FF0000"/>
          <w:spacing w:val="1"/>
          <w:w w:val="58"/>
          <w:kern w:val="0"/>
          <w:sz w:val="108"/>
          <w:szCs w:val="108"/>
          <w:fitText w:val="8850" w:id="0"/>
        </w:rPr>
        <w:t>件</w:t>
      </w:r>
    </w:p>
    <w:p>
      <w:pPr>
        <w:spacing w:line="560" w:lineRule="exact"/>
        <w:rPr>
          <w:rFonts w:hint="default" w:ascii="Times New Roman" w:hAnsi="Times New Roman" w:eastAsia="方正小标宋简体" w:cs="Times New Roman"/>
          <w:sz w:val="96"/>
          <w:szCs w:val="96"/>
        </w:rPr>
      </w:pPr>
    </w:p>
    <w:p>
      <w:pPr>
        <w:spacing w:line="560" w:lineRule="exact"/>
        <w:rPr>
          <w:rFonts w:hint="default" w:ascii="Times New Roman" w:hAnsi="Times New Roman" w:eastAsia="方正小标宋简体" w:cs="Times New Roman"/>
          <w:sz w:val="96"/>
          <w:szCs w:val="96"/>
        </w:rPr>
      </w:pPr>
    </w:p>
    <w:p>
      <w:pPr>
        <w:spacing w:line="320" w:lineRule="exact"/>
        <w:jc w:val="center"/>
        <w:rPr>
          <w:rFonts w:hint="default" w:ascii="Times New Roman" w:hAnsi="Times New Roman" w:eastAsia="方正小标宋简体" w:cs="Times New Roman"/>
          <w:sz w:val="36"/>
        </w:rPr>
      </w:pPr>
      <w:r>
        <w:rPr>
          <w:rFonts w:hint="default" w:ascii="Times New Roman" w:hAnsi="Times New Roman" w:eastAsia="仿宋_GB2312" w:cs="Times New Roman"/>
          <w:sz w:val="32"/>
        </w:rPr>
        <w:t>厦翔教〔20</w:t>
      </w:r>
      <w:r>
        <w:rPr>
          <w:rFonts w:hint="eastAsia" w:ascii="Times New Roman" w:hAnsi="Times New Roman" w:eastAsia="仿宋_GB2312" w:cs="Times New Roman"/>
          <w:sz w:val="32"/>
          <w:lang w:val="en-US" w:eastAsia="zh-CN"/>
        </w:rPr>
        <w:t>24</w:t>
      </w:r>
      <w:r>
        <w:rPr>
          <w:rFonts w:hint="default" w:ascii="Times New Roman" w:hAnsi="Times New Roman" w:eastAsia="仿宋_GB2312" w:cs="Times New Roman"/>
          <w:sz w:val="32"/>
        </w:rPr>
        <w:t>〕</w:t>
      </w:r>
      <w:r>
        <w:rPr>
          <w:rFonts w:hint="eastAsia" w:ascii="Times New Roman" w:hAnsi="Times New Roman" w:eastAsia="仿宋_GB2312" w:cs="Times New Roman"/>
          <w:sz w:val="32"/>
          <w:lang w:val="en-US" w:eastAsia="zh-CN"/>
        </w:rPr>
        <w:t>191</w:t>
      </w:r>
      <w:r>
        <w:rPr>
          <w:rFonts w:hint="default" w:ascii="Times New Roman" w:hAnsi="Times New Roman" w:eastAsia="仿宋_GB2312" w:cs="Times New Roman"/>
          <w:sz w:val="32"/>
        </w:rPr>
        <w:t>号</w:t>
      </w:r>
    </w:p>
    <w:p>
      <w:pPr>
        <w:keepNext w:val="0"/>
        <w:keepLines w:val="0"/>
        <w:pageBreakBefore w:val="0"/>
        <w:widowControl w:val="0"/>
        <w:kinsoku/>
        <w:wordWrap/>
        <w:overflowPunct/>
        <w:topLinePunct w:val="0"/>
        <w:autoSpaceDE/>
        <w:autoSpaceDN/>
        <w:bidi w:val="0"/>
        <w:adjustRightInd/>
        <w:snapToGrid/>
        <w:spacing w:before="124" w:beforeLines="40" w:after="0" w:afterLines="0" w:line="440" w:lineRule="exact"/>
        <w:ind w:left="0" w:leftChars="0" w:right="0" w:rightChars="0" w:firstLine="0" w:firstLineChars="0"/>
        <w:jc w:val="center"/>
        <w:textAlignment w:val="auto"/>
        <w:outlineLvl w:val="9"/>
        <w:rPr>
          <w:rFonts w:hint="default" w:ascii="Times New Roman" w:hAnsi="Times New Roman" w:eastAsia="方正小标宋简体" w:cs="Times New Roman"/>
          <w:sz w:val="36"/>
        </w:rPr>
      </w:pPr>
      <w:r>
        <w:rPr>
          <w:rFonts w:hint="default" w:ascii="Times New Roman" w:hAnsi="Times New Roman" w:eastAsia="方正小标宋简体" w:cs="Times New Roman"/>
          <w:color w:val="FF0000"/>
          <w:sz w:val="36"/>
          <w:lang w:val="zh-CN" w:eastAsia="zh-CN"/>
        </w:rPr>
        <mc:AlternateContent>
          <mc:Choice Requires="wps">
            <w:drawing>
              <wp:anchor distT="0" distB="0" distL="114300" distR="114300" simplePos="0" relativeHeight="251664384" behindDoc="0" locked="0" layoutInCell="1" allowOverlap="1">
                <wp:simplePos x="0" y="0"/>
                <wp:positionH relativeFrom="column">
                  <wp:posOffset>0</wp:posOffset>
                </wp:positionH>
                <wp:positionV relativeFrom="paragraph">
                  <wp:posOffset>129540</wp:posOffset>
                </wp:positionV>
                <wp:extent cx="5615940" cy="0"/>
                <wp:effectExtent l="0" t="13970" r="3810" b="24130"/>
                <wp:wrapNone/>
                <wp:docPr id="1" name="直接连接符 1"/>
                <wp:cNvGraphicFramePr/>
                <a:graphic xmlns:a="http://schemas.openxmlformats.org/drawingml/2006/main">
                  <a:graphicData uri="http://schemas.microsoft.com/office/word/2010/wordprocessingShape">
                    <wps:wsp>
                      <wps:cNvCnPr/>
                      <wps:spPr>
                        <a:xfrm>
                          <a:off x="0" y="0"/>
                          <a:ext cx="5615940" cy="0"/>
                        </a:xfrm>
                        <a:prstGeom prst="line">
                          <a:avLst/>
                        </a:prstGeom>
                        <a:ln w="28575"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0.2pt;height:0pt;width:442.2pt;z-index:251664384;mso-width-relative:page;mso-height-relative:page;" filled="f" stroked="t" coordsize="21600,21600" o:gfxdata="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Dtgi6T1AAAAAYBAAAPAAAAAAAA&#10;AAEAIAAAACIAAABkcnMvZG93bnJldi54bWxQSwECFAAUAAAACACHTuJAOXvgR90BAACXAwAADgAA&#10;AAAAAAABACAAAAAjAQAAZHJzL2Uyb0RvYy54bWxQSwUGAAAAAAYABgBZAQAAcgUAAAAA&#10;">
                <v:fill on="f" focussize="0,0"/>
                <v:stroke weight="2.25pt" color="#FF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before="0" w:beforeLines="0" w:after="0" w:afterLines="0" w:line="300" w:lineRule="exact"/>
        <w:ind w:left="0" w:leftChars="0" w:right="0" w:rightChars="0" w:firstLine="0" w:firstLineChars="0"/>
        <w:jc w:val="center"/>
        <w:textAlignment w:val="auto"/>
        <w:outlineLvl w:val="9"/>
        <w:rPr>
          <w:rFonts w:hint="default" w:ascii="Times New Roman" w:hAnsi="Times New Roman" w:eastAsia="方正小标宋简体" w:cs="Times New Roman"/>
          <w:sz w:val="36"/>
        </w:rPr>
      </w:pPr>
    </w:p>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jc w:val="center"/>
        <w:textAlignment w:val="auto"/>
        <w:outlineLvl w:val="9"/>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厦门市翔安区教育局</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right="0"/>
        <w:jc w:val="center"/>
        <w:textAlignment w:val="auto"/>
        <w:rPr>
          <w:rFonts w:hint="default" w:ascii="Times New Roman" w:hAnsi="Times New Roman" w:eastAsia="仿宋_GB2312" w:cs="Times New Roman"/>
          <w:i w:val="0"/>
          <w:iCs w:val="0"/>
          <w:caps w:val="0"/>
          <w:color w:val="auto"/>
          <w:spacing w:val="0"/>
          <w:kern w:val="0"/>
          <w:sz w:val="32"/>
          <w:szCs w:val="32"/>
          <w:shd w:val="clear" w:fill="FFFFFF"/>
          <w:lang w:val="en-US" w:eastAsia="zh-CN" w:bidi="ar"/>
        </w:rPr>
      </w:pPr>
      <w:r>
        <w:rPr>
          <w:rFonts w:hint="eastAsia" w:ascii="方正小标宋简体" w:hAnsi="方正小标宋简体" w:eastAsia="方正小标宋简体" w:cs="方正小标宋简体"/>
          <w:i w:val="0"/>
          <w:iCs w:val="0"/>
          <w:caps w:val="0"/>
          <w:color w:val="auto"/>
          <w:spacing w:val="0"/>
          <w:kern w:val="0"/>
          <w:sz w:val="44"/>
          <w:szCs w:val="44"/>
          <w:shd w:val="clear" w:fill="FFFFFF"/>
          <w:lang w:val="en-US" w:eastAsia="zh-CN" w:bidi="ar"/>
        </w:rPr>
        <w:t>关于印发《厦门市翔安区中小学科学教育三年行动计划</w:t>
      </w:r>
      <w:r>
        <w:rPr>
          <w:rFonts w:hint="default" w:ascii="Times New Roman" w:hAnsi="Times New Roman" w:eastAsia="方正小标宋简体" w:cs="Times New Roman"/>
          <w:i w:val="0"/>
          <w:iCs w:val="0"/>
          <w:caps w:val="0"/>
          <w:color w:val="auto"/>
          <w:spacing w:val="0"/>
          <w:kern w:val="0"/>
          <w:sz w:val="44"/>
          <w:szCs w:val="44"/>
          <w:shd w:val="clear" w:fill="FFFFFF"/>
          <w:lang w:val="en-US" w:eastAsia="zh-CN" w:bidi="ar"/>
        </w:rPr>
        <w:t>（2024-2026</w:t>
      </w:r>
      <w:r>
        <w:rPr>
          <w:rFonts w:hint="eastAsia" w:ascii="方正小标宋简体" w:hAnsi="方正小标宋简体" w:eastAsia="方正小标宋简体" w:cs="方正小标宋简体"/>
          <w:i w:val="0"/>
          <w:iCs w:val="0"/>
          <w:caps w:val="0"/>
          <w:color w:val="auto"/>
          <w:spacing w:val="0"/>
          <w:kern w:val="0"/>
          <w:sz w:val="44"/>
          <w:szCs w:val="44"/>
          <w:shd w:val="clear" w:fill="FFFFFF"/>
          <w:lang w:val="en-US" w:eastAsia="zh-CN" w:bidi="ar"/>
        </w:rPr>
        <w:t>年）》的通知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360" w:lineRule="exact"/>
        <w:ind w:left="0" w:right="0" w:firstLine="482"/>
        <w:jc w:val="left"/>
        <w:textAlignment w:val="auto"/>
        <w:rPr>
          <w:rFonts w:hint="eastAsia" w:ascii="仿宋" w:hAnsi="仿宋" w:eastAsia="仿宋" w:cs="仿宋"/>
          <w:i w:val="0"/>
          <w:iCs w:val="0"/>
          <w:caps w:val="0"/>
          <w:color w:val="333333"/>
          <w:spacing w:val="0"/>
          <w:kern w:val="0"/>
          <w:sz w:val="32"/>
          <w:szCs w:val="32"/>
          <w:shd w:val="clear" w:fill="FFFFFF"/>
          <w:lang w:val="en-US" w:eastAsia="zh-CN" w:bidi="ar"/>
        </w:rPr>
      </w:pP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jc w:val="both"/>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各中学、中心小学，区直属学校，局属各科室、各事业单位：</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lang w:val="en-US" w:eastAsia="zh-CN"/>
        </w:rPr>
      </w:pPr>
      <w:r>
        <w:rPr>
          <w:rFonts w:hint="eastAsia" w:ascii="Times New Roman" w:hAnsi="Times New Roman" w:eastAsia="仿宋_GB2312" w:cs="Times New Roman"/>
          <w:sz w:val="32"/>
          <w:szCs w:val="32"/>
          <w:lang w:val="en-US" w:eastAsia="zh-CN"/>
        </w:rPr>
        <w:t>为贯彻落实《教育部等十八部门关于加强新时代中小学科学教育工作的意见》、《福建省教育厅关于加强新时代中小学科学教育工作的二十条措施》和《厦门市教育局等十四部门关于加强新时代中小学科学教育工作的实施意见》，区教育局研究制定《厦门市翔安区中小学科学教育三年行动计划（2024-2026）》，现印发给你们，请结合实际，认真组织实施。</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Times New Roman" w:hAnsi="Times New Roman" w:eastAsia="仿宋_GB2312" w:cs="Times New Roman"/>
          <w:sz w:val="32"/>
          <w:szCs w:val="32"/>
          <w:lang w:val="en-US" w:eastAsia="zh-CN"/>
        </w:rPr>
      </w:pPr>
    </w:p>
    <w:p>
      <w:pPr>
        <w:keepNext w:val="0"/>
        <w:keepLines w:val="0"/>
        <w:pageBreakBefore w:val="0"/>
        <w:widowControl w:val="0"/>
        <w:kinsoku/>
        <w:overflowPunct/>
        <w:topLinePunct w:val="0"/>
        <w:bidi w:val="0"/>
        <w:snapToGrid/>
        <w:spacing w:line="520" w:lineRule="exact"/>
        <w:jc w:val="center"/>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 xml:space="preserve">                       厦门市翔安区教育局</w:t>
      </w:r>
    </w:p>
    <w:p>
      <w:pPr>
        <w:pStyle w:val="2"/>
        <w:keepNext w:val="0"/>
        <w:keepLines w:val="0"/>
        <w:pageBreakBefore w:val="0"/>
        <w:widowControl w:val="0"/>
        <w:kinsoku/>
        <w:wordWrap w:val="0"/>
        <w:overflowPunct/>
        <w:topLinePunct w:val="0"/>
        <w:autoSpaceDE w:val="0"/>
        <w:autoSpaceDN w:val="0"/>
        <w:bidi/>
        <w:adjustRightInd w:val="0"/>
        <w:snapToGrid/>
        <w:spacing w:line="520" w:lineRule="exact"/>
        <w:ind w:firstLine="1368" w:firstLineChars="400"/>
        <w:jc w:val="left"/>
        <w:textAlignment w:val="auto"/>
        <w:rPr>
          <w:rFonts w:hint="eastAsia" w:cs="Times New Roman"/>
          <w:spacing w:val="11"/>
          <w:kern w:val="0"/>
          <w:sz w:val="32"/>
          <w:szCs w:val="32"/>
          <w:lang w:val="en-US" w:eastAsia="zh-CN"/>
        </w:rPr>
      </w:pPr>
      <w:r>
        <w:rPr>
          <w:rFonts w:hint="eastAsia" w:cs="Times New Roman"/>
          <w:spacing w:val="11"/>
          <w:kern w:val="0"/>
          <w:sz w:val="32"/>
          <w:szCs w:val="32"/>
          <w:lang w:val="en-US" w:eastAsia="zh-CN"/>
        </w:rPr>
        <w:t>2024年11月11日</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640" w:firstLineChars="200"/>
        <w:jc w:val="left"/>
        <w:textAlignment w:val="auto"/>
        <w:rPr>
          <w:rFonts w:hint="eastAsia" w:ascii="方正小标宋简体" w:hAnsi="方正小标宋简体" w:eastAsia="方正小标宋简体" w:cs="方正小标宋简体"/>
          <w:i w:val="0"/>
          <w:iCs w:val="0"/>
          <w:caps w:val="0"/>
          <w:color w:val="auto"/>
          <w:spacing w:val="0"/>
          <w:kern w:val="0"/>
          <w:sz w:val="44"/>
          <w:szCs w:val="44"/>
          <w:shd w:val="clear" w:fill="FFFFFF"/>
          <w:lang w:val="en-US" w:eastAsia="zh-CN" w:bidi="ar"/>
        </w:rPr>
      </w:pPr>
      <w:r>
        <w:rPr>
          <w:rFonts w:hint="eastAsia" w:cs="Times New Roman"/>
          <w:sz w:val="32"/>
          <w:szCs w:val="32"/>
          <w:lang w:val="en-US" w:eastAsia="zh-CN"/>
        </w:rPr>
        <w:t xml:space="preserve">（此件主动公开）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jc w:val="center"/>
        <w:textAlignment w:val="auto"/>
        <w:rPr>
          <w:rFonts w:hint="eastAsia" w:ascii="方正小标宋简体" w:hAnsi="方正小标宋简体" w:eastAsia="方正小标宋简体" w:cs="方正小标宋简体"/>
          <w:i w:val="0"/>
          <w:iCs w:val="0"/>
          <w:caps w:val="0"/>
          <w:color w:val="auto"/>
          <w:spacing w:val="0"/>
          <w:kern w:val="0"/>
          <w:sz w:val="44"/>
          <w:szCs w:val="44"/>
          <w:shd w:val="clear" w:fill="FFFFFF"/>
          <w:lang w:val="en-US" w:eastAsia="zh-CN" w:bidi="ar"/>
        </w:rPr>
      </w:pPr>
      <w:r>
        <w:rPr>
          <w:rFonts w:hint="eastAsia" w:ascii="方正小标宋简体" w:hAnsi="方正小标宋简体" w:eastAsia="方正小标宋简体" w:cs="方正小标宋简体"/>
          <w:i w:val="0"/>
          <w:iCs w:val="0"/>
          <w:caps w:val="0"/>
          <w:color w:val="auto"/>
          <w:spacing w:val="0"/>
          <w:kern w:val="0"/>
          <w:sz w:val="44"/>
          <w:szCs w:val="44"/>
          <w:shd w:val="clear" w:fill="FFFFFF"/>
          <w:lang w:val="en-US" w:eastAsia="zh-CN" w:bidi="ar"/>
        </w:rPr>
        <w:t>厦门市翔安区中小学科学教育三年行动计划</w:t>
      </w:r>
      <w:r>
        <w:rPr>
          <w:rFonts w:hint="default" w:ascii="Times New Roman" w:hAnsi="Times New Roman" w:eastAsia="方正小标宋简体" w:cs="Times New Roman"/>
          <w:i w:val="0"/>
          <w:iCs w:val="0"/>
          <w:caps w:val="0"/>
          <w:color w:val="auto"/>
          <w:spacing w:val="0"/>
          <w:kern w:val="0"/>
          <w:sz w:val="44"/>
          <w:szCs w:val="44"/>
          <w:shd w:val="clear" w:fill="FFFFFF"/>
          <w:lang w:val="en-US" w:eastAsia="zh-CN" w:bidi="ar"/>
        </w:rPr>
        <w:t>（2024-2026</w:t>
      </w:r>
      <w:r>
        <w:rPr>
          <w:rFonts w:hint="eastAsia" w:ascii="方正小标宋简体" w:hAnsi="方正小标宋简体" w:eastAsia="方正小标宋简体" w:cs="方正小标宋简体"/>
          <w:i w:val="0"/>
          <w:iCs w:val="0"/>
          <w:caps w:val="0"/>
          <w:color w:val="auto"/>
          <w:spacing w:val="0"/>
          <w:kern w:val="0"/>
          <w:sz w:val="44"/>
          <w:szCs w:val="44"/>
          <w:shd w:val="clear" w:fill="FFFFFF"/>
          <w:lang w:val="en-US" w:eastAsia="zh-CN" w:bidi="ar"/>
        </w:rPr>
        <w:t>年）</w:t>
      </w:r>
    </w:p>
    <w:p>
      <w:pPr>
        <w:pStyle w:val="2"/>
        <w:keepNext w:val="0"/>
        <w:keepLines w:val="0"/>
        <w:pageBreakBefore w:val="0"/>
        <w:widowControl w:val="0"/>
        <w:kinsoku/>
        <w:wordWrap/>
        <w:overflowPunct/>
        <w:topLinePunct w:val="0"/>
        <w:autoSpaceDE w:val="0"/>
        <w:autoSpaceDN w:val="0"/>
        <w:bidi w:val="0"/>
        <w:adjustRightInd w:val="0"/>
        <w:snapToGrid/>
        <w:spacing w:line="360" w:lineRule="exact"/>
        <w:textAlignment w:val="auto"/>
        <w:rPr>
          <w:rFonts w:hint="eastAsia"/>
          <w:lang w:val="en-US" w:eastAsia="zh-CN"/>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0" w:lineRule="exact"/>
        <w:ind w:right="0" w:firstLine="640" w:firstLineChars="200"/>
        <w:jc w:val="both"/>
        <w:textAlignment w:val="auto"/>
        <w:rPr>
          <w:rFonts w:hint="default" w:ascii="Times New Roman" w:hAnsi="Times New Roman" w:eastAsia="仿宋_GB2312" w:cs="Times New Roman"/>
          <w:i w:val="0"/>
          <w:iCs w:val="0"/>
          <w:caps w:val="0"/>
          <w:color w:val="333333"/>
          <w:spacing w:val="0"/>
          <w:sz w:val="32"/>
          <w:szCs w:val="32"/>
        </w:rPr>
      </w:pP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为全面贯彻落实党的二十大精神，深入贯彻习近平总书记关于教育、科技创新的重要论述，进一步发挥中小学科学教育在提升公民科学素养、培育创新人才、建设科技强国中的奠基作用，根据《教育部等十八部门关于加强新时代中小学科学教育工作的意见》《翔安区教育改革和</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发展“十四五”规划</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》，特制定《厦门市翔安区中小学科学教育三年行动计划（2024-2026年）》（以下简称《行动计划》）。</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0" w:lineRule="exact"/>
        <w:ind w:right="0" w:firstLine="640" w:firstLineChars="200"/>
        <w:jc w:val="both"/>
        <w:textAlignment w:val="auto"/>
        <w:rPr>
          <w:rFonts w:hint="eastAsia" w:ascii="黑体" w:hAnsi="黑体" w:eastAsia="黑体" w:cs="黑体"/>
          <w:i w:val="0"/>
          <w:iCs w:val="0"/>
          <w:caps w:val="0"/>
          <w:color w:val="333333"/>
          <w:spacing w:val="0"/>
          <w:sz w:val="32"/>
          <w:szCs w:val="32"/>
        </w:rPr>
      </w:pPr>
      <w:r>
        <w:rPr>
          <w:rFonts w:hint="eastAsia" w:ascii="黑体" w:hAnsi="黑体" w:eastAsia="黑体" w:cs="黑体"/>
          <w:i w:val="0"/>
          <w:iCs w:val="0"/>
          <w:caps w:val="0"/>
          <w:color w:val="333333"/>
          <w:spacing w:val="0"/>
          <w:kern w:val="0"/>
          <w:sz w:val="32"/>
          <w:szCs w:val="32"/>
          <w:shd w:val="clear" w:fill="FFFFFF"/>
          <w:lang w:val="en-US" w:eastAsia="zh-CN" w:bidi="ar"/>
        </w:rPr>
        <w:t>一、指导思想</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0" w:lineRule="exact"/>
        <w:ind w:right="0" w:firstLine="640" w:firstLineChars="200"/>
        <w:jc w:val="both"/>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以习近平新时代中国特色社会主义思想为指导，全面贯彻党的二十大、二十届三中全会精神，紧密围绕建设生机勃发的创新翔安，以提高科学素质服务高质量发展为目标，以科学教育为核心，坚持创新驱动战略，不断完善“政府引导、学校主导、企业参与、社会支持”的科学教育工作机制，促进翔安区中小学生综合素养的培养与发展，持续推进科学教育创新发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0" w:lineRule="exact"/>
        <w:ind w:right="0" w:firstLine="640" w:firstLineChars="200"/>
        <w:jc w:val="left"/>
        <w:textAlignment w:val="auto"/>
        <w:rPr>
          <w:rFonts w:hint="eastAsia" w:ascii="黑体" w:hAnsi="黑体" w:eastAsia="黑体" w:cs="黑体"/>
          <w:i w:val="0"/>
          <w:iCs w:val="0"/>
          <w:caps w:val="0"/>
          <w:color w:val="333333"/>
          <w:spacing w:val="0"/>
          <w:kern w:val="0"/>
          <w:sz w:val="32"/>
          <w:szCs w:val="32"/>
          <w:shd w:val="clear" w:fill="FFFFFF"/>
          <w:lang w:val="en-US" w:eastAsia="zh-CN" w:bidi="ar"/>
        </w:rPr>
      </w:pPr>
      <w:r>
        <w:rPr>
          <w:rFonts w:hint="eastAsia" w:ascii="黑体" w:hAnsi="黑体" w:eastAsia="黑体" w:cs="黑体"/>
          <w:i w:val="0"/>
          <w:iCs w:val="0"/>
          <w:caps w:val="0"/>
          <w:color w:val="333333"/>
          <w:spacing w:val="0"/>
          <w:kern w:val="0"/>
          <w:sz w:val="32"/>
          <w:szCs w:val="32"/>
          <w:shd w:val="clear" w:fill="FFFFFF"/>
          <w:lang w:val="en-US" w:eastAsia="zh-CN" w:bidi="ar"/>
        </w:rPr>
        <w:t>二、基本原则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0" w:lineRule="exact"/>
        <w:ind w:left="0" w:right="0" w:firstLine="643" w:firstLineChars="200"/>
        <w:jc w:val="both"/>
        <w:textAlignment w:val="auto"/>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（一）面向未来，立德树人。</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以未来为导向，将科学教育与立德树人的育人核心目标进行有机融合。充分利用5G、大数据、人工智能等科技前沿技术，建设线上线下科学教育体系，在基础教育领域主动创新，着力培养中小学生的爱党爱国责任、创新意识、科学精神和实践能力，为未来培养创新型的人才。</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eastAsia="仿宋" w:asciiTheme="minorHAnsi" w:hAnsiTheme="minorHAnsi" w:cstheme="minorBidi"/>
          <w:kern w:val="2"/>
          <w:sz w:val="32"/>
          <w:szCs w:val="32"/>
          <w:lang w:val="en-US" w:eastAsia="zh-CN" w:bidi="ar-SA"/>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（二）多方参与，开放共享。</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强化区教育局统筹发展科学教育的职责，调动社会各界力量，发挥翔安属地高新技术企业、高等院校、科研院所等在科技创新教育中的积极作用，引导各类科技创新教育资源形成协同发展、开放共享的新局面。进一步加强与厦门大学等本地高校在实验教学、人工智能、创客、STEM教育等方面开展项目化合作，通过深化教育合作与交流，提升教师的教学水平和科研能力，实现资源共享，为学生提供更多科研实践机会和学习资源。</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（三）深度融合，品牌引领。</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促进科学教育在学科课程和教学实践领域的全面渗透与发展，加强中小学学科教育与创客教育的深度融合，推进学习方式以及课堂教学结构的深度变革，提升学科教师的创新融合能力，提升科学教育质量和学生科学素养，将科学创新教育打造成翔安教育的品牌和名片。</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（四）重点支持，全面提升。</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鼓励和支持科学教</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育特色学校和优势项目的优先发展和重点建设，推动学校在科学教育的体制机制创新、人才培养模式、学习方式变革等方面取得突破，全面提升翔安区中小学生科学素养和科技创新素养。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黑体" w:hAnsi="黑体" w:eastAsia="黑体" w:cs="黑体"/>
          <w:i w:val="0"/>
          <w:iCs w:val="0"/>
          <w:caps w:val="0"/>
          <w:color w:val="333333"/>
          <w:spacing w:val="0"/>
          <w:kern w:val="0"/>
          <w:sz w:val="32"/>
          <w:szCs w:val="32"/>
          <w:shd w:val="clear" w:fill="FFFFFF"/>
          <w:lang w:val="en-US" w:eastAsia="zh-CN" w:bidi="ar"/>
        </w:rPr>
      </w:pPr>
      <w:r>
        <w:rPr>
          <w:rFonts w:hint="eastAsia" w:ascii="黑体" w:hAnsi="黑体" w:eastAsia="黑体" w:cs="黑体"/>
          <w:i w:val="0"/>
          <w:iCs w:val="0"/>
          <w:caps w:val="0"/>
          <w:color w:val="333333"/>
          <w:spacing w:val="0"/>
          <w:kern w:val="0"/>
          <w:sz w:val="32"/>
          <w:szCs w:val="32"/>
          <w:shd w:val="clear" w:fill="FFFFFF"/>
          <w:lang w:val="en-US" w:eastAsia="zh-CN" w:bidi="ar"/>
        </w:rPr>
        <w:t>三、行动目标</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pP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通过三年努力，在教育</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“双减”</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中做好科学教育加法的各项措施全面落地，中小学科学教育体系更加完善，大中小学及家校社协同推进科学教育的育人机制明显健全，社会各方资源有效整合，全区科学教育资源优质均衡供给，构建多层次、多元化、全方位的中小学科学教育体系，并在工作机制、课程体系、教师队伍、特色学校、实践基地、竞赛体系等方面构建出多层次、多元化、全方位的中小学科学教育体系，全面提升中小学生科学素养和创新素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黑体" w:hAnsi="黑体" w:eastAsia="黑体" w:cs="黑体"/>
          <w:i w:val="0"/>
          <w:iCs w:val="0"/>
          <w:caps w:val="0"/>
          <w:color w:val="333333"/>
          <w:spacing w:val="0"/>
          <w:kern w:val="0"/>
          <w:sz w:val="32"/>
          <w:szCs w:val="32"/>
          <w:shd w:val="clear" w:fill="FFFFFF"/>
          <w:lang w:val="en-US" w:eastAsia="zh-CN" w:bidi="ar"/>
        </w:rPr>
      </w:pPr>
      <w:r>
        <w:rPr>
          <w:rFonts w:hint="eastAsia" w:ascii="黑体" w:hAnsi="黑体" w:eastAsia="黑体" w:cs="黑体"/>
          <w:i w:val="0"/>
          <w:iCs w:val="0"/>
          <w:caps w:val="0"/>
          <w:color w:val="333333"/>
          <w:spacing w:val="0"/>
          <w:kern w:val="0"/>
          <w:sz w:val="32"/>
          <w:szCs w:val="32"/>
          <w:shd w:val="clear" w:fill="FFFFFF"/>
          <w:lang w:val="en-US" w:eastAsia="zh-CN" w:bidi="ar"/>
        </w:rPr>
        <w:t>四、重点任务与专项行动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eastAsia" w:ascii="楷体_GB2312" w:hAnsi="楷体_GB2312" w:eastAsia="楷体_GB2312" w:cs="楷体_GB2312"/>
          <w:b/>
          <w:bCs/>
          <w:i w:val="0"/>
          <w:iCs w:val="0"/>
          <w:caps w:val="0"/>
          <w:color w:val="333333"/>
          <w:spacing w:val="0"/>
          <w:sz w:val="32"/>
          <w:szCs w:val="32"/>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（一）持续深化课程供给和教学改革，促进科学教育内涵发展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3" w:firstLineChars="200"/>
        <w:jc w:val="both"/>
        <w:textAlignment w:val="auto"/>
        <w:rPr>
          <w:rFonts w:hint="default" w:ascii="Times New Roman" w:hAnsi="Times New Roman" w:eastAsia="仿宋_GB2312" w:cs="Times New Roman"/>
          <w:i w:val="0"/>
          <w:iCs w:val="0"/>
          <w:caps w:val="0"/>
          <w:color w:val="333333"/>
          <w:spacing w:val="0"/>
          <w:sz w:val="32"/>
          <w:szCs w:val="32"/>
        </w:rPr>
      </w:pPr>
      <w:r>
        <w:rPr>
          <w:rFonts w:hint="default" w:ascii="Times New Roman" w:hAnsi="Times New Roman" w:eastAsia="仿宋_GB2312" w:cs="Times New Roman"/>
          <w:b/>
          <w:bCs/>
          <w:i w:val="0"/>
          <w:iCs w:val="0"/>
          <w:caps w:val="0"/>
          <w:color w:val="333333"/>
          <w:spacing w:val="0"/>
          <w:kern w:val="0"/>
          <w:sz w:val="32"/>
          <w:szCs w:val="32"/>
          <w:shd w:val="clear" w:fill="FFFFFF"/>
          <w:lang w:val="en-US" w:eastAsia="zh-CN" w:bidi="ar"/>
        </w:rPr>
        <w:t>1.推进科学教育课程资源供给。</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持续推进新课程改革、新教材实施，高质量落实国家课程方案和课程标准，落实福建省、厦门市课程方案，引导本区中小学校以促进学生全面而有个性发展为目标，以激发中小学生好奇心、想象力和探求欲为导向，合理编制学校课程实施计划，有机融入科学教育，开发并实施体现实践性与综合性的科学类选修课程。进一步整合本区校内外各学段科学教育课程资源，强化年级学段有机衔接，加强学校科学课程、课后服务和课外科学实践活动的一体化设计。引导各学校加强科学教育课程资源的开发与整合，形成科学教育课程资源的区域共建共享机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3" w:firstLineChars="200"/>
        <w:jc w:val="both"/>
        <w:textAlignment w:val="auto"/>
        <w:rPr>
          <w:rFonts w:hint="eastAsia" w:ascii="仿宋" w:hAnsi="仿宋" w:eastAsia="仿宋" w:cs="仿宋"/>
          <w:i w:val="0"/>
          <w:iCs w:val="0"/>
          <w:caps w:val="0"/>
          <w:color w:val="333333"/>
          <w:spacing w:val="0"/>
          <w:kern w:val="0"/>
          <w:sz w:val="32"/>
          <w:szCs w:val="32"/>
          <w:shd w:val="clear" w:fill="FFFFFF"/>
          <w:lang w:val="en-US" w:eastAsia="zh-CN" w:bidi="ar"/>
        </w:rPr>
      </w:pPr>
      <w:r>
        <w:rPr>
          <w:rFonts w:hint="default" w:ascii="Times New Roman" w:hAnsi="Times New Roman" w:eastAsia="仿宋_GB2312" w:cs="Times New Roman"/>
          <w:b/>
          <w:bCs/>
          <w:i w:val="0"/>
          <w:iCs w:val="0"/>
          <w:caps w:val="0"/>
          <w:color w:val="333333"/>
          <w:spacing w:val="0"/>
          <w:kern w:val="0"/>
          <w:sz w:val="32"/>
          <w:szCs w:val="32"/>
          <w:shd w:val="clear" w:fill="FFFFFF"/>
          <w:lang w:val="en-US" w:eastAsia="zh-CN" w:bidi="ar"/>
        </w:rPr>
        <w:t>2.深化科学教育课堂教学改革。</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引导教师合理运用信息化平台和数字化应用场景，积极探索互动式、启发式、探究式、体验式课堂教学。持续优化实验教学，强化学生动手操作实验，在演示实验的基础上，积极运用探究实验，引导学生自主设计创新实验。通过教研员下沉学校、组织公开教学展示、搭建区域数字化教学平台、开展科学教育教学改革典型案例评选等举措，促进教师全面探索科学教育教学方式改革与创新，培育开发科学教育教学改革典型案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eastAsia" w:ascii="楷体_GB2312" w:hAnsi="楷体_GB2312" w:eastAsia="楷体_GB2312" w:cs="楷体_GB2312"/>
          <w:b/>
          <w:bCs/>
          <w:i w:val="0"/>
          <w:iCs w:val="0"/>
          <w:caps w:val="0"/>
          <w:color w:val="333333"/>
          <w:spacing w:val="0"/>
          <w:sz w:val="32"/>
          <w:szCs w:val="32"/>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（二）持续推进协同合作和资源整合，筑牢科学教育发展平台</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3" w:firstLineChars="200"/>
        <w:jc w:val="both"/>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r>
        <w:rPr>
          <w:rFonts w:hint="default" w:ascii="Times New Roman" w:hAnsi="Times New Roman" w:eastAsia="仿宋_GB2312" w:cs="Times New Roman"/>
          <w:b/>
          <w:bCs/>
          <w:i w:val="0"/>
          <w:iCs w:val="0"/>
          <w:caps w:val="0"/>
          <w:color w:val="333333"/>
          <w:spacing w:val="0"/>
          <w:kern w:val="0"/>
          <w:sz w:val="32"/>
          <w:szCs w:val="32"/>
          <w:shd w:val="clear" w:fill="FFFFFF"/>
          <w:lang w:val="en-US" w:eastAsia="zh-CN" w:bidi="ar"/>
        </w:rPr>
        <w:t>3.深化协同合作，丰富科学实践活动。</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强化部门协作，形成多部门共同参与、有效联动、密切配合的科学教育协作机制，不断完善大中小学及家校社协同育人机制。统筹厦门大学、南洋学院、青少年宫、新时代文明实践站（点）等高校资源和社会资源，加强科学专家、科研院所、科技场馆、科技企业与中小学对接。开展</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“科学家进校园行动”“科普进万家行动”等重点项</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目，提升社会科普场所的科学教</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育功能，发挥闽台地缘优势，促进海峡两岸和国际青少年科学教育交流。通过“请进来”“走出去”，开展丰富多样的科学实践活动。“请进来”即开展“科学家（精神）进校园”、少年科学院、流动科技馆、科技节等活动。“走出去”即组织中小学生前往校外科学教育场馆或基地，进行场景式、体验式科学实践活动，扩大高校实验室等优质资源向中小学生开放。</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3" w:firstLineChars="200"/>
        <w:jc w:val="both"/>
        <w:textAlignment w:val="auto"/>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pPr>
      <w:r>
        <w:rPr>
          <w:rFonts w:hint="default" w:ascii="Times New Roman" w:hAnsi="Times New Roman" w:eastAsia="仿宋_GB2312" w:cs="Times New Roman"/>
          <w:b/>
          <w:bCs/>
          <w:i w:val="0"/>
          <w:iCs w:val="0"/>
          <w:caps w:val="0"/>
          <w:color w:val="333333"/>
          <w:spacing w:val="0"/>
          <w:kern w:val="0"/>
          <w:sz w:val="32"/>
          <w:szCs w:val="32"/>
          <w:shd w:val="clear" w:fill="FFFFFF"/>
          <w:lang w:val="en-US" w:eastAsia="zh-CN" w:bidi="ar"/>
        </w:rPr>
        <w:t>4.整合优势资源，推动科创基地建设。</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结</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合“科技活动周”活</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动，将每年5月第三周确定</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为“翔安区青少年科技创新教育活动周”。深度整合翔安区在场</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馆设施、特色品牌、科技人才等方面的优势资源，统筹协调区域科学教育优质资源的使用和开发。开展科技创新</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教育“</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1+N</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”工程，在全区</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学校遴选一批社会责任感强、课程内涵丰富、具有较强教育实践意义的科技创新教育研学实践基地。实施科技创新教育普适性项目，鼓励学校建设创新实验室，重点发展科技创新类的学生社团。定期组织开展区级评审，对符合条件的授予科技创新教育特色学校称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3" w:firstLineChars="200"/>
        <w:jc w:val="both"/>
        <w:textAlignment w:val="auto"/>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pPr>
      <w:r>
        <w:rPr>
          <w:rFonts w:hint="default" w:ascii="Times New Roman" w:hAnsi="Times New Roman" w:eastAsia="仿宋_GB2312" w:cs="Times New Roman"/>
          <w:b/>
          <w:bCs/>
          <w:i w:val="0"/>
          <w:iCs w:val="0"/>
          <w:caps w:val="0"/>
          <w:color w:val="333333"/>
          <w:spacing w:val="0"/>
          <w:kern w:val="0"/>
          <w:sz w:val="32"/>
          <w:szCs w:val="32"/>
          <w:shd w:val="clear" w:fill="FFFFFF"/>
          <w:lang w:val="en-US" w:eastAsia="zh-CN" w:bidi="ar"/>
        </w:rPr>
        <w:t>5.优化科技创新教育竞赛体系。</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在全区范围内整合各类中小学科学竞赛活动，规范管理</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区赛事活动的申报、评审与组织。打造“翔安区中小学创客大赛”区级综合品牌赛事，组织参加“全国三维数字化创新设计大赛、青少年科技创新大赛、世界机器人大赛、航海模型教育竞赛等具有影</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响力的国家品牌赛事，每年举办面向全区的创客节，搭建全区“师生创客”作品展示与交流研讨平台。</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eastAsia" w:ascii="华文楷体" w:hAnsi="华文楷体" w:eastAsia="华文楷体" w:cs="华文楷体"/>
          <w:i w:val="0"/>
          <w:iCs w:val="0"/>
          <w:caps w:val="0"/>
          <w:color w:val="333333"/>
          <w:spacing w:val="0"/>
          <w:sz w:val="32"/>
          <w:szCs w:val="32"/>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（三）持续深化科学教师队伍建设，夯实科学教育高质量发展的人才基础</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3" w:firstLineChars="200"/>
        <w:jc w:val="both"/>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r>
        <w:rPr>
          <w:rFonts w:hint="default" w:ascii="Times New Roman" w:hAnsi="Times New Roman" w:eastAsia="仿宋_GB2312" w:cs="Times New Roman"/>
          <w:b/>
          <w:bCs/>
          <w:i w:val="0"/>
          <w:iCs w:val="0"/>
          <w:caps w:val="0"/>
          <w:color w:val="333333"/>
          <w:spacing w:val="0"/>
          <w:kern w:val="0"/>
          <w:sz w:val="32"/>
          <w:szCs w:val="32"/>
          <w:shd w:val="clear" w:fill="FFFFFF"/>
          <w:lang w:val="en-US" w:eastAsia="zh-CN" w:bidi="ar"/>
        </w:rPr>
        <w:t>6.构建</w:t>
      </w:r>
      <w:r>
        <w:rPr>
          <w:rFonts w:hint="eastAsia" w:ascii="仿宋_GB2312" w:hAnsi="仿宋_GB2312" w:eastAsia="仿宋_GB2312" w:cs="仿宋_GB2312"/>
          <w:b/>
          <w:bCs/>
          <w:i w:val="0"/>
          <w:iCs w:val="0"/>
          <w:caps w:val="0"/>
          <w:color w:val="333333"/>
          <w:spacing w:val="0"/>
          <w:kern w:val="0"/>
          <w:sz w:val="32"/>
          <w:szCs w:val="32"/>
          <w:shd w:val="clear" w:fill="FFFFFF"/>
          <w:lang w:val="en-US" w:eastAsia="zh-CN" w:bidi="ar"/>
        </w:rPr>
        <w:t>多元培养途径，加强师资队伍建设。</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开展“科学教师专项培养行动”，在区内中小学分批次分层次开展科学教师培训，包括面向全体科学教师的“义务教育科学新课程新教材培训”和面向学校科技辅导员的“科创教育种子教师专题研修”。各中小学校均配备由专职科学教师、跨学科教师、实验员组成的科学教育团队，有效提升教师的科学教育意识、科学教育能力。将科学教育和拔尖创新人才培养作为培训的重要内容，加强前沿科技知识和技能培训，夯实本区自主培养青少年学科拔尖人才的师资力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eastAsia" w:ascii="楷体_GB2312" w:hAnsi="楷体_GB2312" w:eastAsia="楷体_GB2312" w:cs="楷体_GB2312"/>
          <w:b/>
          <w:bCs/>
          <w:i w:val="0"/>
          <w:iCs w:val="0"/>
          <w:caps w:val="0"/>
          <w:color w:val="333333"/>
          <w:spacing w:val="0"/>
          <w:sz w:val="32"/>
          <w:szCs w:val="32"/>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（四）持续深化拔尖人才早期发现与培养，形成英才培养的翔安模式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3" w:firstLineChars="200"/>
        <w:jc w:val="left"/>
        <w:textAlignment w:val="auto"/>
        <w:rPr>
          <w:rFonts w:hint="eastAsia" w:ascii="仿宋_GB2312" w:hAnsi="仿宋_GB2312" w:eastAsia="仿宋_GB2312" w:cs="仿宋_GB2312"/>
          <w:i w:val="0"/>
          <w:iCs w:val="0"/>
          <w:caps w:val="0"/>
          <w:color w:val="333333"/>
          <w:spacing w:val="0"/>
          <w:sz w:val="32"/>
          <w:szCs w:val="32"/>
        </w:rPr>
      </w:pPr>
      <w:r>
        <w:rPr>
          <w:rFonts w:hint="default" w:ascii="Times New Roman" w:hAnsi="Times New Roman" w:eastAsia="仿宋_GB2312" w:cs="Times New Roman"/>
          <w:b/>
          <w:bCs/>
          <w:i w:val="0"/>
          <w:iCs w:val="0"/>
          <w:caps w:val="0"/>
          <w:color w:val="333333"/>
          <w:spacing w:val="0"/>
          <w:kern w:val="0"/>
          <w:sz w:val="32"/>
          <w:szCs w:val="32"/>
          <w:shd w:val="clear" w:fill="FFFFFF"/>
          <w:lang w:val="en-US" w:eastAsia="zh-CN" w:bidi="ar"/>
        </w:rPr>
        <w:t>7.实施拔尖人才</w:t>
      </w:r>
      <w:r>
        <w:rPr>
          <w:rFonts w:hint="eastAsia" w:ascii="仿宋_GB2312" w:hAnsi="仿宋_GB2312" w:eastAsia="仿宋_GB2312" w:cs="仿宋_GB2312"/>
          <w:b/>
          <w:bCs/>
          <w:i w:val="0"/>
          <w:iCs w:val="0"/>
          <w:caps w:val="0"/>
          <w:color w:val="333333"/>
          <w:spacing w:val="0"/>
          <w:kern w:val="0"/>
          <w:sz w:val="32"/>
          <w:szCs w:val="32"/>
          <w:shd w:val="clear" w:fill="FFFFFF"/>
          <w:lang w:val="en-US" w:eastAsia="zh-CN" w:bidi="ar"/>
        </w:rPr>
        <w:t>培养项目，探索创新人才早期发现培养的长效机制。</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整合高校、在翔市直属校和本区优势教育资源，建立并完善课程资源与教学管理聚合平台，建立五大学科拔尖人才培养基地和若干个创新人才培养基地，完善基地建设的配套管理制度。出台“翔安科创英才培养计划”，评选年度中小学“翔安科创之星”。强化对人才培养的跟踪研究和行动研究，总结人才培养的典型案例和实践经验，探索拔尖创新人才早期发现和培养路径，形成拔尖创新人才培养的翔安模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default" w:ascii="Times New Roman" w:hAnsi="Times New Roman" w:eastAsia="楷体_GB2312" w:cs="Times New Roman"/>
          <w:b/>
          <w:bCs/>
          <w:i w:val="0"/>
          <w:iCs w:val="0"/>
          <w:caps w:val="0"/>
          <w:color w:val="333333"/>
          <w:spacing w:val="0"/>
          <w:sz w:val="32"/>
          <w:szCs w:val="32"/>
        </w:rPr>
      </w:pPr>
      <w:r>
        <w:rPr>
          <w:rFonts w:hint="default" w:ascii="Times New Roman" w:hAnsi="Times New Roman" w:eastAsia="楷体_GB2312" w:cs="Times New Roman"/>
          <w:b/>
          <w:bCs/>
          <w:i w:val="0"/>
          <w:iCs w:val="0"/>
          <w:caps w:val="0"/>
          <w:color w:val="333333"/>
          <w:spacing w:val="0"/>
          <w:kern w:val="0"/>
          <w:sz w:val="32"/>
          <w:szCs w:val="32"/>
          <w:shd w:val="clear" w:fill="FFFFFF"/>
          <w:lang w:val="en-US" w:eastAsia="zh-CN" w:bidi="ar"/>
        </w:rPr>
        <w:t>（五）持续加强评价改革和过程管理，强化科学教育的支撑体系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0" w:lineRule="exact"/>
        <w:ind w:right="0" w:firstLine="643" w:firstLineChars="200"/>
        <w:jc w:val="both"/>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r>
        <w:rPr>
          <w:rFonts w:hint="default" w:ascii="Times New Roman" w:hAnsi="Times New Roman" w:eastAsia="仿宋_GB2312" w:cs="Times New Roman"/>
          <w:b/>
          <w:bCs/>
          <w:i w:val="0"/>
          <w:iCs w:val="0"/>
          <w:caps w:val="0"/>
          <w:color w:val="333333"/>
          <w:spacing w:val="0"/>
          <w:kern w:val="0"/>
          <w:sz w:val="32"/>
          <w:szCs w:val="32"/>
          <w:shd w:val="clear" w:fill="FFFFFF"/>
          <w:lang w:val="en-US" w:eastAsia="zh-CN" w:bidi="ar"/>
        </w:rPr>
        <w:t>8.强化学</w:t>
      </w:r>
      <w:r>
        <w:rPr>
          <w:rFonts w:hint="eastAsia" w:ascii="仿宋_GB2312" w:hAnsi="仿宋_GB2312" w:eastAsia="仿宋_GB2312" w:cs="仿宋_GB2312"/>
          <w:b/>
          <w:bCs/>
          <w:i w:val="0"/>
          <w:iCs w:val="0"/>
          <w:caps w:val="0"/>
          <w:color w:val="333333"/>
          <w:spacing w:val="0"/>
          <w:kern w:val="0"/>
          <w:sz w:val="32"/>
          <w:szCs w:val="32"/>
          <w:shd w:val="clear" w:fill="FFFFFF"/>
          <w:lang w:val="en-US" w:eastAsia="zh-CN" w:bidi="ar"/>
        </w:rPr>
        <w:t>术引领，完善科学教育评价体系。</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区教师进修学校组织研究力量，结合我区中小学生的实际学情，定期组织实施本区中小学生科学素养测评，为各中小学校实施科学教育提供评价反馈。强化各中小学校开展科学教育评价改革行动研究，梳理各校探索科学教育评价改革的典型经验。推进中小学科学教育的区域质量监测，重点关注学生思维的发展、学习方式的转变、科学方法的掌握、探究能力的形成、科学观念的养成，落实质量监测结果的分析、挖掘、反馈与教学改进。开展科学教育专项督导，重点关注科学教育相关政策的落实、学校科学课程实施、科学教育资源建设、科学教育师资队伍建设、创新人才培养、实验室与仪器配备、课后服务中的科学教育等方面，为学校科学教育改进提供指导和建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0" w:firstLineChars="200"/>
        <w:jc w:val="left"/>
        <w:textAlignment w:val="auto"/>
        <w:rPr>
          <w:rFonts w:hint="eastAsia" w:ascii="黑体" w:hAnsi="黑体" w:eastAsia="黑体" w:cs="黑体"/>
          <w:i w:val="0"/>
          <w:iCs w:val="0"/>
          <w:caps w:val="0"/>
          <w:color w:val="auto"/>
          <w:spacing w:val="0"/>
          <w:sz w:val="32"/>
          <w:szCs w:val="32"/>
        </w:rPr>
      </w:pPr>
      <w:r>
        <w:rPr>
          <w:rFonts w:hint="eastAsia" w:ascii="黑体" w:hAnsi="黑体" w:eastAsia="黑体" w:cs="黑体"/>
          <w:i w:val="0"/>
          <w:iCs w:val="0"/>
          <w:caps w:val="0"/>
          <w:color w:val="333333"/>
          <w:spacing w:val="0"/>
          <w:kern w:val="0"/>
          <w:sz w:val="32"/>
          <w:szCs w:val="32"/>
          <w:shd w:val="clear" w:fill="FFFFFF"/>
          <w:lang w:val="en-US" w:eastAsia="zh-CN" w:bidi="ar"/>
        </w:rPr>
        <w:t>五、组织保障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eastAsia" w:ascii="楷体_GB2312" w:hAnsi="楷体_GB2312" w:eastAsia="楷体_GB2312" w:cs="楷体_GB2312"/>
          <w:b/>
          <w:bCs/>
          <w:i w:val="0"/>
          <w:iCs w:val="0"/>
          <w:caps w:val="0"/>
          <w:color w:val="333333"/>
          <w:spacing w:val="0"/>
          <w:sz w:val="32"/>
          <w:szCs w:val="32"/>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（一）加强组织领导</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0" w:lineRule="exact"/>
        <w:ind w:right="0" w:firstLine="640" w:firstLineChars="200"/>
        <w:jc w:val="both"/>
        <w:textAlignment w:val="auto"/>
        <w:rPr>
          <w:rFonts w:hint="default" w:ascii="Times New Roman" w:hAnsi="Times New Roman" w:eastAsia="仿宋_GB2312" w:cs="Times New Roman"/>
          <w:i w:val="0"/>
          <w:iCs w:val="0"/>
          <w:caps w:val="0"/>
          <w:color w:val="333333"/>
          <w:spacing w:val="0"/>
          <w:sz w:val="32"/>
          <w:szCs w:val="32"/>
        </w:rPr>
      </w:pP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全区各中小学要深刻认识高质量推进科学教育的重要意义。成立区级科学教育指导中心，强化教育科、德育科、教育事务受理中心、区教师进修学校等科室、中心工作职责。各校成立校级专项工作小组，聘任专家担任科学副校长并指定1名校级分管领导牵头负责，各校至少设立1名科技辅导员，具体负责协调科学教育工作，确保各项工作整体谋划、统筹协调和督促落实。深化校际协同、做好跨学段衔接，形成区域整体推进中小学科学教育的发展格局。相关科室及各校要依据本行动计划，制定推进科学教育的实施方案，完善配套措施</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，区教师进修学校要切实履行“研究、指导、服务、管理”的职责,</w:t>
      </w:r>
      <w:r>
        <w:rPr>
          <w:rFonts w:hint="default" w:ascii="Times New Roman" w:hAnsi="Times New Roman" w:eastAsia="仿宋_GB2312" w:cs="Times New Roman"/>
          <w:i w:val="0"/>
          <w:iCs w:val="0"/>
          <w:caps w:val="0"/>
          <w:color w:val="333333"/>
          <w:spacing w:val="0"/>
          <w:kern w:val="0"/>
          <w:sz w:val="32"/>
          <w:szCs w:val="32"/>
          <w:shd w:val="clear" w:fill="FFFFFF"/>
          <w:lang w:val="en-US" w:eastAsia="zh-CN" w:bidi="ar"/>
        </w:rPr>
        <w:t>为区域各学校高质量推进科学教育提供有力支撑，确保各项工作落实落细。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（二）加大多元投入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0" w:lineRule="exact"/>
        <w:ind w:right="0" w:firstLine="640" w:firstLineChars="200"/>
        <w:jc w:val="both"/>
        <w:textAlignment w:val="auto"/>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完善政策支持，将高质量推进中小学科学教育专项行动融入区域教育高质量发展大局，协同多部门统筹开发和利用科学教育资源，争取多方资金，支持科学教师培养、拔尖创新人才培养基地建设、中小学生校外科学教育、创新实验室建设、科学家进校园建设等特色项目，完善政策和经费支持的长效机制。继续推进“科技教育进乡村学校”项目，为乡村小学提供资金支持和师资保障，帮助乡村学校改善办学条件，提升科学教育质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（三）加强教育督导</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80" w:lineRule="exact"/>
        <w:ind w:right="0" w:firstLine="640" w:firstLineChars="200"/>
        <w:jc w:val="both"/>
        <w:textAlignment w:val="auto"/>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将科学教育作为重要内容纳入中小学办学行为督导评估，把中小学生科技素养和创新素养纳入学生综合素养评价之中。由区教育督导评估事务中心对行动计划实施情况进行专项督导，将推进中小学科学教育主要任务的完成情况纳入全区校长职级及学校绩效的评价指标。加大正向激励力度，对推进科学教育和创新人才培养工作取得突出成效的学校按年度给予考核奖励。</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643" w:firstLineChars="200"/>
        <w:jc w:val="left"/>
        <w:textAlignment w:val="auto"/>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pPr>
      <w:r>
        <w:rPr>
          <w:rFonts w:hint="eastAsia" w:ascii="楷体_GB2312" w:hAnsi="楷体_GB2312" w:eastAsia="楷体_GB2312" w:cs="楷体_GB2312"/>
          <w:b/>
          <w:bCs/>
          <w:i w:val="0"/>
          <w:iCs w:val="0"/>
          <w:caps w:val="0"/>
          <w:color w:val="333333"/>
          <w:spacing w:val="0"/>
          <w:kern w:val="0"/>
          <w:sz w:val="32"/>
          <w:szCs w:val="32"/>
          <w:shd w:val="clear" w:fill="FFFFFF"/>
          <w:lang w:val="en-US" w:eastAsia="zh-CN" w:bidi="ar"/>
        </w:rPr>
        <w:t>（四）扩大宣传推广</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right="0" w:firstLine="640" w:firstLineChars="200"/>
        <w:jc w:val="both"/>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加强政策解读和对外宣传。综合利用媒体平台，推广和介绍翔安推进中小学科学教育的理念、行动、举措、经验、成效，凝聚社会共识，打造翔安创新教育特色品牌，发挥价值引领和榜样示范作用。以专题报道的形式生动展示在科学教育、创新人才培养等方面表现突出的学校、教师和团队，向公众展示翔安高质量推进中小学科学教育取得的显著成效，讲好翔安教育故事，为努力办好与厦门城市发展定位相匹配的一流教育贡献翔安力量。</w:t>
      </w:r>
    </w:p>
    <w:p>
      <w:pPr>
        <w:pStyle w:val="2"/>
        <w:keepNext w:val="0"/>
        <w:keepLines w:val="0"/>
        <w:pageBreakBefore w:val="0"/>
        <w:widowControl w:val="0"/>
        <w:kinsoku/>
        <w:wordWrap/>
        <w:overflowPunct/>
        <w:topLinePunct w:val="0"/>
        <w:autoSpaceDE w:val="0"/>
        <w:autoSpaceDN w:val="0"/>
        <w:bidi w:val="0"/>
        <w:adjustRightInd w:val="0"/>
        <w:snapToGrid/>
        <w:spacing w:line="600" w:lineRule="exact"/>
        <w:textAlignment w:val="auto"/>
        <w:rPr>
          <w:rFonts w:hint="eastAsia"/>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rPr>
          <w:rFonts w:hint="default" w:ascii="Times New Roman" w:hAnsi="Times New Roman" w:cs="Times New Roman"/>
          <w:lang w:eastAsia="zh-CN"/>
        </w:rPr>
      </w:pPr>
    </w:p>
    <w:p>
      <w:pPr>
        <w:pStyle w:val="2"/>
        <w:rPr>
          <w:rFonts w:hint="default" w:ascii="Times New Roman" w:hAnsi="Times New Roman" w:cs="Times New Roman"/>
          <w:lang w:eastAsia="zh-CN"/>
        </w:rPr>
      </w:pPr>
    </w:p>
    <w:p>
      <w:pPr>
        <w:keepNext w:val="0"/>
        <w:keepLines w:val="0"/>
        <w:pageBreakBefore w:val="0"/>
        <w:widowControl w:val="0"/>
        <w:kinsoku/>
        <w:wordWrap/>
        <w:overflowPunct/>
        <w:topLinePunct w:val="0"/>
        <w:autoSpaceDE/>
        <w:autoSpaceDN/>
        <w:bidi w:val="0"/>
        <w:adjustRightInd/>
        <w:snapToGrid/>
        <w:spacing w:line="1380" w:lineRule="exact"/>
        <w:textAlignment w:val="auto"/>
        <w:rPr>
          <w:rFonts w:hint="default"/>
          <w:lang w:eastAsia="zh-CN"/>
        </w:rPr>
      </w:pPr>
      <w:bookmarkStart w:id="0" w:name="_GoBack"/>
      <w:bookmarkEnd w:id="0"/>
    </w:p>
    <w:p>
      <w:pPr>
        <w:rPr>
          <w:rFonts w:hint="eastAsia"/>
        </w:rPr>
      </w:pPr>
      <w:r>
        <w:rPr>
          <w:rFonts w:hint="default" w:ascii="Times New Roman" w:hAnsi="Times New Roman" w:eastAsia="仿宋_GB2312" w:cs="Times New Roman"/>
          <w:color w:val="auto"/>
          <w:sz w:val="28"/>
          <w:szCs w:val="28"/>
        </w:rPr>
        <mc:AlternateContent>
          <mc:Choice Requires="wps">
            <w:drawing>
              <wp:anchor distT="0" distB="0" distL="114300" distR="114300" simplePos="0" relativeHeight="251661312" behindDoc="0" locked="0" layoutInCell="1" allowOverlap="1">
                <wp:simplePos x="0" y="0"/>
                <wp:positionH relativeFrom="column">
                  <wp:posOffset>-9525</wp:posOffset>
                </wp:positionH>
                <wp:positionV relativeFrom="paragraph">
                  <wp:posOffset>3810</wp:posOffset>
                </wp:positionV>
                <wp:extent cx="5600700" cy="635"/>
                <wp:effectExtent l="0" t="0" r="0" b="0"/>
                <wp:wrapNone/>
                <wp:docPr id="4" name="直接连接符 4"/>
                <wp:cNvGraphicFramePr/>
                <a:graphic xmlns:a="http://schemas.openxmlformats.org/drawingml/2006/main">
                  <a:graphicData uri="http://schemas.microsoft.com/office/word/2010/wordprocessingShape">
                    <wps:wsp>
                      <wps:cNvCnPr/>
                      <wps:spPr>
                        <a:xfrm>
                          <a:off x="0" y="0"/>
                          <a:ext cx="560070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75pt;margin-top:0.3pt;height:0.05pt;width:441pt;z-index:251661312;mso-width-relative:page;mso-height-relative:page;" filled="f" stroked="t" coordsize="21600,21600" o:gfxdata="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CW7XsbTAAAABAEAAA8AAAAAAAAA&#10;AQAgAAAAIgAAAGRycy9kb3ducmV2LnhtbFBLAQIUABQAAAAIAIdO4kAUP8Gk3QEAAJkDAAAOAAAA&#10;AAAAAAEAIAAAACIBAABkcnMvZTJvRG9jLnhtbFBLBQYAAAAABgAGAFkBAABxBQAAAAA=&#10;">
                <v:fill on="f" focussize="0,0"/>
                <v:stroke weight="1.25pt" color="#000000" joinstyle="round"/>
                <v:imagedata o:title=""/>
                <o:lock v:ext="edit" aspectratio="f"/>
              </v:line>
            </w:pict>
          </mc:Fallback>
        </mc:AlternateContent>
      </w:r>
      <w:r>
        <w:rPr>
          <w:rFonts w:hint="default" w:ascii="Times New Roman" w:hAnsi="Times New Roman" w:eastAsia="仿宋_GB2312" w:cs="Times New Roman"/>
          <w:color w:val="auto"/>
          <w:sz w:val="28"/>
          <w:szCs w:val="28"/>
        </w:rPr>
        <mc:AlternateContent>
          <mc:Choice Requires="wps">
            <w:drawing>
              <wp:anchor distT="0" distB="0" distL="114300" distR="114300" simplePos="0" relativeHeight="251662336" behindDoc="0" locked="0" layoutInCell="1" allowOverlap="1">
                <wp:simplePos x="0" y="0"/>
                <wp:positionH relativeFrom="column">
                  <wp:posOffset>5080</wp:posOffset>
                </wp:positionH>
                <wp:positionV relativeFrom="paragraph">
                  <wp:posOffset>385445</wp:posOffset>
                </wp:positionV>
                <wp:extent cx="5600700" cy="635"/>
                <wp:effectExtent l="0" t="0" r="0" b="0"/>
                <wp:wrapNone/>
                <wp:docPr id="3" name="直接连接符 3"/>
                <wp:cNvGraphicFramePr/>
                <a:graphic xmlns:a="http://schemas.openxmlformats.org/drawingml/2006/main">
                  <a:graphicData uri="http://schemas.microsoft.com/office/word/2010/wordprocessingShape">
                    <wps:wsp>
                      <wps:cNvCnPr/>
                      <wps:spPr>
                        <a:xfrm>
                          <a:off x="0" y="0"/>
                          <a:ext cx="560070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4pt;margin-top:30.35pt;height:0.05pt;width:441pt;z-index:251662336;mso-width-relative:page;mso-height-relative:page;" filled="f" stroked="t" coordsize="21600,21600" o:gfxdata="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XaOp0tMAAAAGAQAADwAAAAAAAAAB&#10;ACAAAAAiAAAAZHJzL2Rvd25yZXYueG1sUEsBAhQAFAAAAAgAh07iQMIvzv7cAQAAmQMAAA4AAAAA&#10;AAAAAQAgAAAAIgEAAGRycy9lMm9Eb2MueG1sUEsFBgAAAAAGAAYAWQEAAHAFAAAAAA==&#10;">
                <v:fill on="f" focussize="0,0"/>
                <v:stroke weight="1.25pt" color="#000000" joinstyle="round"/>
                <v:imagedata o:title=""/>
                <o:lock v:ext="edit" aspectratio="f"/>
              </v:line>
            </w:pict>
          </mc:Fallback>
        </mc:AlternateContent>
      </w:r>
      <w:r>
        <w:rPr>
          <w:rFonts w:hint="default" w:ascii="Times New Roman" w:hAnsi="Times New Roman" w:eastAsia="仿宋_GB2312" w:cs="Times New Roman"/>
          <w:color w:val="auto"/>
          <w:sz w:val="28"/>
          <w:szCs w:val="28"/>
          <w:lang w:val="en-US" w:eastAsia="zh-CN"/>
        </w:rPr>
        <w:t xml:space="preserve"> </w:t>
      </w:r>
      <w:r>
        <w:rPr>
          <w:rFonts w:hint="default" w:ascii="Times New Roman" w:hAnsi="Times New Roman" w:eastAsia="仿宋_GB2312" w:cs="Times New Roman"/>
          <w:color w:val="auto"/>
          <w:sz w:val="28"/>
          <w:szCs w:val="28"/>
        </w:rPr>
        <w:t xml:space="preserve">厦门市翔安区教育局 </w:t>
      </w:r>
      <w:r>
        <w:rPr>
          <w:rFonts w:hint="default" w:ascii="Times New Roman" w:hAnsi="Times New Roman" w:eastAsia="仿宋_GB2312" w:cs="Times New Roman"/>
          <w:color w:val="auto"/>
          <w:sz w:val="32"/>
        </w:rPr>
        <w:t xml:space="preserve">            　</w:t>
      </w:r>
      <w:r>
        <w:rPr>
          <w:rFonts w:hint="eastAsia" w:ascii="Times New Roman" w:hAnsi="Times New Roman" w:eastAsia="仿宋_GB2312" w:cs="Times New Roman"/>
          <w:color w:val="auto"/>
          <w:sz w:val="32"/>
          <w:lang w:val="en-US" w:eastAsia="zh-CN"/>
        </w:rPr>
        <w:t xml:space="preserve"> </w:t>
      </w:r>
      <w:r>
        <w:rPr>
          <w:rFonts w:hint="default" w:ascii="Times New Roman" w:hAnsi="Times New Roman" w:eastAsia="仿宋_GB2312" w:cs="Times New Roman"/>
          <w:color w:val="auto"/>
          <w:sz w:val="32"/>
        </w:rPr>
        <w:t xml:space="preserve">  </w:t>
      </w:r>
      <w:r>
        <w:rPr>
          <w:rFonts w:hint="default" w:ascii="Times New Roman" w:hAnsi="Times New Roman" w:eastAsia="仿宋_GB2312" w:cs="Times New Roman"/>
          <w:color w:val="auto"/>
          <w:sz w:val="32"/>
          <w:lang w:val="en-US" w:eastAsia="zh-CN"/>
        </w:rPr>
        <w:t xml:space="preserve">  </w:t>
      </w:r>
      <w:r>
        <w:rPr>
          <w:rFonts w:hint="default" w:ascii="Times New Roman" w:hAnsi="Times New Roman" w:eastAsia="仿宋_GB2312" w:cs="Times New Roman"/>
          <w:color w:val="auto"/>
          <w:sz w:val="28"/>
          <w:szCs w:val="28"/>
        </w:rPr>
        <w:t>20</w:t>
      </w:r>
      <w:r>
        <w:rPr>
          <w:rFonts w:hint="default" w:ascii="Times New Roman" w:hAnsi="Times New Roman" w:eastAsia="仿宋_GB2312" w:cs="Times New Roman"/>
          <w:color w:val="auto"/>
          <w:sz w:val="28"/>
          <w:szCs w:val="28"/>
          <w:lang w:val="en-US" w:eastAsia="zh-CN"/>
        </w:rPr>
        <w:t>2</w:t>
      </w:r>
      <w:r>
        <w:rPr>
          <w:rFonts w:hint="eastAsia" w:ascii="Times New Roman" w:hAnsi="Times New Roman" w:eastAsia="仿宋_GB2312" w:cs="Times New Roman"/>
          <w:color w:val="auto"/>
          <w:sz w:val="28"/>
          <w:szCs w:val="28"/>
          <w:lang w:val="en-US" w:eastAsia="zh-CN"/>
        </w:rPr>
        <w:t>4</w:t>
      </w:r>
      <w:r>
        <w:rPr>
          <w:rFonts w:hint="default" w:ascii="Times New Roman" w:hAnsi="Times New Roman" w:eastAsia="仿宋_GB2312" w:cs="Times New Roman"/>
          <w:color w:val="auto"/>
          <w:sz w:val="28"/>
          <w:szCs w:val="28"/>
        </w:rPr>
        <w:t>年</w:t>
      </w:r>
      <w:r>
        <w:rPr>
          <w:rFonts w:hint="eastAsia" w:ascii="Times New Roman" w:hAnsi="Times New Roman" w:eastAsia="仿宋_GB2312" w:cs="Times New Roman"/>
          <w:color w:val="auto"/>
          <w:sz w:val="28"/>
          <w:szCs w:val="28"/>
          <w:lang w:val="en-US" w:eastAsia="zh-CN"/>
        </w:rPr>
        <w:t>11</w:t>
      </w:r>
      <w:r>
        <w:rPr>
          <w:rFonts w:hint="default" w:ascii="Times New Roman" w:hAnsi="Times New Roman" w:eastAsia="仿宋_GB2312" w:cs="Times New Roman"/>
          <w:color w:val="auto"/>
          <w:sz w:val="28"/>
          <w:szCs w:val="28"/>
        </w:rPr>
        <w:t>月</w:t>
      </w:r>
      <w:r>
        <w:rPr>
          <w:rFonts w:hint="eastAsia" w:ascii="Times New Roman" w:hAnsi="Times New Roman" w:eastAsia="仿宋_GB2312" w:cs="Times New Roman"/>
          <w:color w:val="auto"/>
          <w:sz w:val="28"/>
          <w:szCs w:val="28"/>
          <w:lang w:val="en-US" w:eastAsia="zh-CN"/>
        </w:rPr>
        <w:t>11</w:t>
      </w:r>
      <w:r>
        <w:rPr>
          <w:rFonts w:hint="default" w:ascii="Times New Roman" w:hAnsi="Times New Roman" w:eastAsia="仿宋_GB2312" w:cs="Times New Roman"/>
          <w:color w:val="auto"/>
          <w:sz w:val="28"/>
          <w:szCs w:val="28"/>
        </w:rPr>
        <w:t>日印发</w:t>
      </w:r>
    </w:p>
    <w:sectPr>
      <w:footerReference r:id="rId3" w:type="default"/>
      <w:pgSz w:w="11906" w:h="16838"/>
      <w:pgMar w:top="2098" w:right="1474" w:bottom="1191" w:left="1587" w:header="851" w:footer="737"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等线">
    <w:altName w:val="微软雅黑"/>
    <w:panose1 w:val="02010600030101010101"/>
    <w:charset w:val="86"/>
    <w:family w:val="auto"/>
    <w:pitch w:val="default"/>
    <w:sig w:usb0="00000000" w:usb1="00000000" w:usb2="00000016" w:usb3="00000000" w:csb0="0004000F"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华文楷体">
    <w:altName w:val="楷体_GB2312"/>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eastAsia="仿宋"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pStyle w:val="4"/>
                      <w:rPr>
                        <w:rFonts w:hint="default" w:ascii="Times New Roman" w:hAnsi="Times New Roman" w:eastAsia="仿宋" w:cs="Times New Roman"/>
                        <w:sz w:val="28"/>
                        <w:szCs w:val="2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VlMjFmNjY0NzQ1ZjBjNjM1ZjI4NzJkZWQ4NWZiMWUifQ=="/>
  </w:docVars>
  <w:rsids>
    <w:rsidRoot w:val="094A2663"/>
    <w:rsid w:val="007C3848"/>
    <w:rsid w:val="0141285C"/>
    <w:rsid w:val="05A72A2E"/>
    <w:rsid w:val="094A2663"/>
    <w:rsid w:val="0C7D70D0"/>
    <w:rsid w:val="0CAB16EE"/>
    <w:rsid w:val="0EA82EA7"/>
    <w:rsid w:val="11B561E5"/>
    <w:rsid w:val="132511FE"/>
    <w:rsid w:val="1D415317"/>
    <w:rsid w:val="1E82200B"/>
    <w:rsid w:val="21530FBE"/>
    <w:rsid w:val="262215B9"/>
    <w:rsid w:val="26CD2175"/>
    <w:rsid w:val="27A17844"/>
    <w:rsid w:val="2B0E343C"/>
    <w:rsid w:val="2E541617"/>
    <w:rsid w:val="30D02713"/>
    <w:rsid w:val="3B107DA1"/>
    <w:rsid w:val="3BFE6E0F"/>
    <w:rsid w:val="3C2F0542"/>
    <w:rsid w:val="3EDB3BDA"/>
    <w:rsid w:val="3F260954"/>
    <w:rsid w:val="407A0751"/>
    <w:rsid w:val="457B0A47"/>
    <w:rsid w:val="45DE19AE"/>
    <w:rsid w:val="4B894BF1"/>
    <w:rsid w:val="4DBA5EFD"/>
    <w:rsid w:val="4F87584A"/>
    <w:rsid w:val="4FE44E23"/>
    <w:rsid w:val="53443198"/>
    <w:rsid w:val="5526547B"/>
    <w:rsid w:val="56A06E8D"/>
    <w:rsid w:val="5DCC7D04"/>
    <w:rsid w:val="61FF4676"/>
    <w:rsid w:val="62F47779"/>
    <w:rsid w:val="64F92F2E"/>
    <w:rsid w:val="65E749AA"/>
    <w:rsid w:val="69602222"/>
    <w:rsid w:val="6CD70C72"/>
    <w:rsid w:val="70C412FB"/>
    <w:rsid w:val="72D72D94"/>
    <w:rsid w:val="73950EC5"/>
    <w:rsid w:val="741E3C6B"/>
    <w:rsid w:val="754355C4"/>
    <w:rsid w:val="76122E50"/>
    <w:rsid w:val="784F0A6C"/>
    <w:rsid w:val="78C34D88"/>
    <w:rsid w:val="7D77370F"/>
    <w:rsid w:val="7FDF6442"/>
    <w:rsid w:val="7FF12471"/>
    <w:rsid w:val="EB7E31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 w:asciiTheme="minorHAnsi" w:hAnsiTheme="minorHAnsi" w:cstheme="minorBidi"/>
      <w:kern w:val="2"/>
      <w:sz w:val="32"/>
      <w:szCs w:val="3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customStyle="1" w:styleId="2">
    <w:name w:val="Default"/>
    <w:basedOn w:val="3"/>
    <w:next w:val="1"/>
    <w:qFormat/>
    <w:uiPriority w:val="0"/>
    <w:pPr>
      <w:widowControl w:val="0"/>
      <w:autoSpaceDE w:val="0"/>
      <w:autoSpaceDN w:val="0"/>
      <w:adjustRightInd w:val="0"/>
    </w:pPr>
    <w:rPr>
      <w:rFonts w:ascii="Times New Roman" w:hAnsi="Times New Roman" w:eastAsia="仿宋_GB2312" w:cs="Times New Roman"/>
      <w:color w:val="000000"/>
      <w:sz w:val="24"/>
      <w:szCs w:val="32"/>
      <w:lang w:val="en-US" w:eastAsia="zh-CN" w:bidi="ar-SA"/>
    </w:rPr>
  </w:style>
  <w:style w:type="paragraph" w:customStyle="1" w:styleId="3">
    <w:name w:val="正文1"/>
    <w:qFormat/>
    <w:uiPriority w:val="0"/>
    <w:pPr>
      <w:widowControl w:val="0"/>
      <w:jc w:val="both"/>
    </w:pPr>
    <w:rPr>
      <w:rFonts w:ascii="等线" w:hAnsi="等线" w:eastAsia="等线" w:cs="宋体"/>
      <w:color w:val="000000"/>
      <w:kern w:val="2"/>
      <w:sz w:val="21"/>
      <w:szCs w:val="22"/>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25</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2024-09-08T17:21:00Z</dcterms:created>
  <dc:creator>林东荣</dc:creator>
  <cp:lastModifiedBy>LL  lll</cp:lastModifiedBy>
  <dcterms:modified xsi:type="dcterms:W3CDTF">2024-11-13T07:18:48Z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C95A78BC1EA3409B9E050BD332C8A2D0_11</vt:lpwstr>
  </property>
</Properties>
</file>