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line="56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w:t>
      </w:r>
    </w:p>
    <w:p>
      <w:pPr>
        <w:spacing w:line="500" w:lineRule="exact"/>
        <w:rPr>
          <w:rFonts w:eastAsia="黑体"/>
          <w:sz w:val="32"/>
          <w:szCs w:val="32"/>
        </w:rPr>
      </w:pPr>
    </w:p>
    <w:p>
      <w:pPr>
        <w:spacing w:line="600" w:lineRule="exact"/>
        <w:jc w:val="center"/>
        <w:rPr>
          <w:rFonts w:eastAsia="方正小标宋简体"/>
          <w:sz w:val="44"/>
          <w:szCs w:val="44"/>
        </w:rPr>
      </w:pPr>
      <w:r>
        <w:rPr>
          <w:rFonts w:eastAsia="方正小标宋简体"/>
          <w:sz w:val="44"/>
          <w:szCs w:val="44"/>
        </w:rPr>
        <w:t>厦门市翔安区扬尘防治工作方案</w:t>
      </w:r>
    </w:p>
    <w:p>
      <w:pPr>
        <w:spacing w:line="600" w:lineRule="exact"/>
        <w:jc w:val="center"/>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区建设局、区环保分局</w:t>
      </w:r>
    </w:p>
    <w:p>
      <w:pPr>
        <w:spacing w:line="500" w:lineRule="exact"/>
        <w:rPr>
          <w:rFonts w:eastAsia="仿宋_GB2312"/>
          <w:sz w:val="32"/>
          <w:szCs w:val="32"/>
        </w:rPr>
      </w:pPr>
    </w:p>
    <w:p>
      <w:pPr>
        <w:spacing w:line="560" w:lineRule="exact"/>
        <w:rPr>
          <w:rFonts w:eastAsia="仿宋_GB2312"/>
          <w:sz w:val="32"/>
          <w:szCs w:val="32"/>
        </w:rPr>
      </w:pPr>
      <w:r>
        <w:rPr>
          <w:rFonts w:eastAsia="仿宋_GB2312"/>
          <w:sz w:val="32"/>
          <w:szCs w:val="32"/>
        </w:rPr>
        <w:t xml:space="preserve">    为全面落实《厦门市清洁空气行动计划(2014-2017）》和《进一步提升环境空气质量工作方案》，进一步强化各类扬尘防治工作，全面提升环境空气质量，特制定本工作方案。</w:t>
      </w:r>
    </w:p>
    <w:p>
      <w:pPr>
        <w:spacing w:line="560" w:lineRule="exact"/>
        <w:rPr>
          <w:rFonts w:hint="eastAsia" w:ascii="黑体" w:hAnsi="黑体" w:eastAsia="黑体" w:cs="黑体"/>
          <w:sz w:val="32"/>
          <w:szCs w:val="32"/>
        </w:rPr>
      </w:pPr>
      <w:r>
        <w:rPr>
          <w:rFonts w:hint="eastAsia" w:ascii="黑体" w:hAnsi="黑体" w:eastAsia="黑体" w:cs="黑体"/>
          <w:sz w:val="32"/>
          <w:szCs w:val="32"/>
        </w:rPr>
        <w:t xml:space="preserve">    一、工作目标</w:t>
      </w:r>
    </w:p>
    <w:p>
      <w:pPr>
        <w:spacing w:line="560" w:lineRule="exact"/>
        <w:ind w:firstLine="640" w:firstLineChars="200"/>
        <w:rPr>
          <w:rFonts w:eastAsia="仿宋_GB2312"/>
          <w:sz w:val="32"/>
          <w:szCs w:val="32"/>
        </w:rPr>
      </w:pPr>
      <w:r>
        <w:rPr>
          <w:rFonts w:eastAsia="仿宋_GB2312"/>
          <w:sz w:val="32"/>
          <w:szCs w:val="32"/>
        </w:rPr>
        <w:t>进一步规范各类扬尘防治工作，强化扬尘防治主体责任，按照有关扬尘控制标准要求，通过管控预防、集中整治等措施，落实工地砂土100%覆盖、主要施工道路100%硬化、出工地车辆100%冲洗、拆除工程100%洒水压尘、待建工地100%绿化，工业企业生产100%达标排放，工业企业、港口码头、物流场地等易扬尘料场100%密闭、覆盖或围档以及运输规范管理，严禁焚烧垃圾，有效控制扬尘污染，提升环境空气质量。</w:t>
      </w:r>
    </w:p>
    <w:p>
      <w:pPr>
        <w:spacing w:line="56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二、工作要求</w:t>
      </w:r>
    </w:p>
    <w:p>
      <w:pPr>
        <w:spacing w:line="560" w:lineRule="exact"/>
        <w:ind w:firstLine="640" w:firstLineChars="200"/>
        <w:rPr>
          <w:rFonts w:eastAsia="仿宋_GB2312"/>
          <w:sz w:val="32"/>
          <w:szCs w:val="32"/>
        </w:rPr>
      </w:pPr>
      <w:r>
        <w:rPr>
          <w:rFonts w:eastAsia="仿宋_GB2312"/>
          <w:sz w:val="32"/>
          <w:szCs w:val="32"/>
        </w:rPr>
        <w:t>各建设业主(代业主)、经营业主是扬尘防治工作的责任主体，具体负责落实文明施工和生产、经营、运输过程中的扬尘防治工作。</w:t>
      </w:r>
    </w:p>
    <w:p>
      <w:pPr>
        <w:spacing w:line="560" w:lineRule="exact"/>
        <w:ind w:firstLine="640" w:firstLineChars="200"/>
        <w:rPr>
          <w:rFonts w:eastAsia="仿宋_GB2312"/>
          <w:sz w:val="32"/>
          <w:szCs w:val="32"/>
        </w:rPr>
      </w:pPr>
      <w:r>
        <w:rPr>
          <w:rFonts w:eastAsia="仿宋_GB2312"/>
          <w:sz w:val="32"/>
          <w:szCs w:val="32"/>
        </w:rPr>
        <w:t>各行业主管部门负责相关的监督管理，制定各类扬尘防治措施并组织实施，督促各类工地建设业主(代业主)、经营业主、施工、监理、经营等参建单位或生产、经营者落实扬尘防治工作，并依法对各类扬尘污染行为进行查处。</w:t>
      </w:r>
    </w:p>
    <w:p>
      <w:pPr>
        <w:spacing w:line="560" w:lineRule="exact"/>
        <w:ind w:firstLine="640" w:firstLineChars="200"/>
        <w:rPr>
          <w:rFonts w:eastAsia="仿宋_GB2312"/>
          <w:sz w:val="32"/>
          <w:szCs w:val="32"/>
        </w:rPr>
      </w:pPr>
      <w:r>
        <w:rPr>
          <w:rFonts w:eastAsia="仿宋_GB2312"/>
          <w:sz w:val="32"/>
          <w:szCs w:val="32"/>
        </w:rPr>
        <w:t>各类工地、作业场所扬尘控制要求如下:</w:t>
      </w:r>
    </w:p>
    <w:p>
      <w:pPr>
        <w:spacing w:line="560" w:lineRule="exact"/>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 xml:space="preserve">    </w:t>
      </w:r>
      <w:r>
        <w:rPr>
          <w:rFonts w:hint="eastAsia" w:ascii="楷体_GB2312" w:hAnsi="楷体_GB2312" w:eastAsia="楷体_GB2312" w:cs="楷体_GB2312"/>
          <w:b/>
          <w:sz w:val="32"/>
          <w:szCs w:val="32"/>
        </w:rPr>
        <w:t>（一）</w:t>
      </w:r>
      <w:r>
        <w:rPr>
          <w:rFonts w:hint="eastAsia" w:ascii="楷体_GB2312" w:hAnsi="楷体_GB2312" w:eastAsia="楷体_GB2312" w:cs="楷体_GB2312"/>
          <w:b/>
          <w:bCs/>
          <w:sz w:val="32"/>
          <w:szCs w:val="32"/>
        </w:rPr>
        <w:t>房屋建筑工程、港口工程、电力工程、水利工程工地</w:t>
      </w:r>
    </w:p>
    <w:p>
      <w:pPr>
        <w:spacing w:line="560" w:lineRule="exact"/>
        <w:rPr>
          <w:rFonts w:eastAsia="仿宋_GB2312"/>
          <w:sz w:val="32"/>
          <w:szCs w:val="32"/>
        </w:rPr>
      </w:pPr>
      <w:r>
        <w:rPr>
          <w:rFonts w:eastAsia="仿宋_GB2312"/>
          <w:sz w:val="32"/>
          <w:szCs w:val="32"/>
        </w:rPr>
        <w:t xml:space="preserve">    工地现场应当根据工地实际设置封闭围挡或局部围挡，脚手架外侧应当封闭，全面推行湿法作业。工地项目驻地、钢筋加工场、施工通道地面应当硬化，并定期洒水压尘。工地现场出入口处应当采取保证车辆清洁的措施。水泥和其他易飞扬的细颗粒建筑材料应当采取有效措施防止扬尘。停工日期超过三个月以上的工地，裸露地面应当覆盖。裸置3个月以上的土方，应当采取临时绿化措施。裸置3个月以下的土方，应当采取压尘措施。</w:t>
      </w:r>
    </w:p>
    <w:p>
      <w:pPr>
        <w:spacing w:line="560" w:lineRule="exact"/>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 xml:space="preserve">    </w:t>
      </w:r>
      <w:r>
        <w:rPr>
          <w:rFonts w:hint="eastAsia" w:ascii="楷体_GB2312" w:hAnsi="楷体_GB2312" w:eastAsia="楷体_GB2312" w:cs="楷体_GB2312"/>
          <w:b/>
          <w:sz w:val="32"/>
          <w:szCs w:val="32"/>
        </w:rPr>
        <w:t>（二）</w:t>
      </w:r>
      <w:r>
        <w:rPr>
          <w:rFonts w:hint="eastAsia" w:ascii="楷体_GB2312" w:hAnsi="楷体_GB2312" w:eastAsia="楷体_GB2312" w:cs="楷体_GB2312"/>
          <w:b/>
          <w:bCs/>
          <w:sz w:val="32"/>
          <w:szCs w:val="32"/>
        </w:rPr>
        <w:t>轨道交通工程、市政道路工程、电力线路工程、交通工程、道路维护修缮工程、园林绿化工程、地下管线工程工地</w:t>
      </w:r>
    </w:p>
    <w:p>
      <w:pPr>
        <w:spacing w:line="560" w:lineRule="exact"/>
        <w:rPr>
          <w:rFonts w:eastAsia="仿宋_GB2312"/>
          <w:sz w:val="32"/>
          <w:szCs w:val="32"/>
        </w:rPr>
      </w:pPr>
      <w:r>
        <w:rPr>
          <w:rFonts w:eastAsia="仿宋_GB2312"/>
          <w:sz w:val="32"/>
          <w:szCs w:val="32"/>
        </w:rPr>
        <w:t xml:space="preserve">    工地现场应当根据工地实际设置封闭围挡或局部围档，脚手架外侧应当封闭，全面推行湿法作业。工地项目驻地、钢筋加工场、施工通道地面应当硬化，并定期洒水压尘。工地现场出入口处应当采取保证车辆清洁的措施。施工时应当控制土方开挖和存留时间，破路开挖出的土方堆放应及时覆盖。</w:t>
      </w:r>
    </w:p>
    <w:p>
      <w:pPr>
        <w:spacing w:line="560" w:lineRule="exact"/>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 xml:space="preserve">    </w:t>
      </w:r>
      <w:r>
        <w:rPr>
          <w:rFonts w:hint="eastAsia" w:ascii="楷体_GB2312" w:hAnsi="楷体_GB2312" w:eastAsia="楷体_GB2312" w:cs="楷体_GB2312"/>
          <w:b/>
          <w:sz w:val="32"/>
          <w:szCs w:val="32"/>
        </w:rPr>
        <w:t>（三）</w:t>
      </w:r>
      <w:r>
        <w:rPr>
          <w:rFonts w:hint="eastAsia" w:ascii="楷体_GB2312" w:hAnsi="楷体_GB2312" w:eastAsia="楷体_GB2312" w:cs="楷体_GB2312"/>
          <w:b/>
          <w:bCs/>
          <w:sz w:val="32"/>
          <w:szCs w:val="32"/>
        </w:rPr>
        <w:t>预拌商品混凝土搅拌站</w:t>
      </w:r>
    </w:p>
    <w:p>
      <w:pPr>
        <w:spacing w:line="560" w:lineRule="exact"/>
        <w:rPr>
          <w:rFonts w:eastAsia="仿宋_GB2312"/>
          <w:sz w:val="32"/>
          <w:szCs w:val="32"/>
        </w:rPr>
      </w:pPr>
      <w:r>
        <w:rPr>
          <w:rFonts w:eastAsia="仿宋_GB2312"/>
          <w:sz w:val="32"/>
          <w:szCs w:val="32"/>
        </w:rPr>
        <w:t xml:space="preserve">    预拌商品混凝土搅拌站应严格按照国家行业标准《预拌混凝土绿色生产及管理技术规程》（JGJ/T328 - 2014)、福建省工程建设地方标准《福建省预拌混凝土绿色生产管理规程》(DBJ/T13 -151-2012)和《厦门市预拌混凝土绿色生产管理实施细则》要求进行生产和运输。骨料输送管道必须全密闭。混凝土生产需用的骨料堆场均须全封闭，并采取喷淋降尘措施。</w:t>
      </w:r>
    </w:p>
    <w:p>
      <w:pPr>
        <w:spacing w:line="560" w:lineRule="exact"/>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 xml:space="preserve">    </w:t>
      </w:r>
      <w:r>
        <w:rPr>
          <w:rFonts w:hint="eastAsia" w:ascii="楷体_GB2312" w:hAnsi="楷体_GB2312" w:eastAsia="楷体_GB2312" w:cs="楷体_GB2312"/>
          <w:b/>
          <w:sz w:val="32"/>
          <w:szCs w:val="32"/>
        </w:rPr>
        <w:t>（四）</w:t>
      </w:r>
      <w:r>
        <w:rPr>
          <w:rFonts w:hint="eastAsia" w:ascii="楷体_GB2312" w:hAnsi="楷体_GB2312" w:eastAsia="楷体_GB2312" w:cs="楷体_GB2312"/>
          <w:b/>
          <w:bCs/>
          <w:sz w:val="32"/>
          <w:szCs w:val="32"/>
        </w:rPr>
        <w:t>拆除工程、场平工程、采石场、采砂场工地</w:t>
      </w:r>
    </w:p>
    <w:p>
      <w:pPr>
        <w:spacing w:line="560" w:lineRule="exact"/>
        <w:ind w:firstLine="640" w:firstLineChars="200"/>
        <w:rPr>
          <w:rFonts w:eastAsia="仿宋_GB2312"/>
          <w:sz w:val="32"/>
          <w:szCs w:val="32"/>
        </w:rPr>
      </w:pPr>
      <w:r>
        <w:rPr>
          <w:rFonts w:eastAsia="仿宋_GB2312"/>
          <w:sz w:val="32"/>
          <w:szCs w:val="32"/>
        </w:rPr>
        <w:t>现场应当根据工地实际设置封闭围挡或局部围档，脚手架外侧应当封闭，全面推行湿法作业。项目驻地、加工场、堆场、施工运输通道应当进行地面硬化，并定期洒水压尘。工地现场出入口处应当采取保证车辆清洁的措施。砂、石堆场除作业面外应覆盖，并实施降尘措施。石料加工、粉碎等环节应实施封闭，并配置喷洒设施、集尘设施除尘，除尘设施应保持完好。场平工程作业前应对作业面压尘，完成场平的工地要采取措施防止扬尘。</w:t>
      </w:r>
    </w:p>
    <w:p>
      <w:pPr>
        <w:spacing w:line="560" w:lineRule="exact"/>
        <w:ind w:firstLine="640" w:firstLineChars="200"/>
        <w:rPr>
          <w:rFonts w:hint="eastAsia" w:ascii="楷体_GB2312" w:hAnsi="楷体_GB2312" w:eastAsia="楷体_GB2312" w:cs="楷体_GB2312"/>
          <w:b/>
          <w:bCs/>
          <w:sz w:val="32"/>
          <w:szCs w:val="32"/>
        </w:rPr>
      </w:pPr>
      <w:r>
        <w:rPr>
          <w:rFonts w:hint="eastAsia" w:ascii="楷体_GB2312" w:hAnsi="楷体_GB2312" w:eastAsia="楷体_GB2312" w:cs="楷体_GB2312"/>
          <w:b/>
          <w:sz w:val="32"/>
          <w:szCs w:val="32"/>
        </w:rPr>
        <w:t>（五）</w:t>
      </w:r>
      <w:r>
        <w:rPr>
          <w:rFonts w:hint="eastAsia" w:ascii="楷体_GB2312" w:hAnsi="楷体_GB2312" w:eastAsia="楷体_GB2312" w:cs="楷体_GB2312"/>
          <w:b/>
          <w:bCs/>
          <w:sz w:val="32"/>
          <w:szCs w:val="32"/>
        </w:rPr>
        <w:t>马赛克加工厂、家具厂和其他产生粉尘工业加工企业</w:t>
      </w:r>
    </w:p>
    <w:p>
      <w:pPr>
        <w:spacing w:line="560" w:lineRule="exact"/>
        <w:ind w:firstLine="640" w:firstLineChars="200"/>
        <w:rPr>
          <w:rFonts w:eastAsia="仿宋_GB2312"/>
          <w:sz w:val="32"/>
          <w:szCs w:val="32"/>
        </w:rPr>
      </w:pPr>
      <w:r>
        <w:rPr>
          <w:rFonts w:eastAsia="仿宋_GB2312"/>
          <w:sz w:val="32"/>
          <w:szCs w:val="32"/>
        </w:rPr>
        <w:t>企业必须根据实际设置封闭围挡或局部围档，应对产生扬尘环节实施封闭，安装集尘设施除尘，除尘设施应保持完好。堆场、运输通道应当进行地面硬化，未硬化的裸土空地应设置绿化。应落实运输车辆出门清洗保障措施。配备洒水车辆、固定式喷雾喷淋系统或移动式喷雾机，适时喷雾喷淋除尘。</w:t>
      </w:r>
    </w:p>
    <w:p>
      <w:pPr>
        <w:spacing w:line="560" w:lineRule="exact"/>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 xml:space="preserve">    </w:t>
      </w:r>
      <w:r>
        <w:rPr>
          <w:rFonts w:hint="eastAsia" w:ascii="楷体_GB2312" w:hAnsi="楷体_GB2312" w:eastAsia="楷体_GB2312" w:cs="楷体_GB2312"/>
          <w:b/>
          <w:sz w:val="32"/>
          <w:szCs w:val="32"/>
        </w:rPr>
        <w:t>（六）</w:t>
      </w:r>
      <w:r>
        <w:rPr>
          <w:rFonts w:hint="eastAsia" w:ascii="楷体_GB2312" w:hAnsi="楷体_GB2312" w:eastAsia="楷体_GB2312" w:cs="楷体_GB2312"/>
          <w:b/>
          <w:bCs/>
          <w:sz w:val="32"/>
          <w:szCs w:val="32"/>
        </w:rPr>
        <w:t>工业企业、港口码头、物流场地等易扬尘料场</w:t>
      </w:r>
    </w:p>
    <w:p>
      <w:pPr>
        <w:spacing w:line="560" w:lineRule="exact"/>
        <w:rPr>
          <w:rFonts w:eastAsia="仿宋_GB2312"/>
          <w:sz w:val="32"/>
          <w:szCs w:val="32"/>
        </w:rPr>
      </w:pPr>
      <w:r>
        <w:rPr>
          <w:rFonts w:eastAsia="仿宋_GB2312"/>
          <w:sz w:val="32"/>
          <w:szCs w:val="32"/>
        </w:rPr>
        <w:t xml:space="preserve">    所有易扬尘料场应采取降尘措施，外围应建设围墙、防风抑尘网，场内须配备喷琳、覆盖等抑尘措施，避免起尘和风蚀起尘。输送管道必须全密闭，无法全密闭作业的，装卸作业应保证全程湿环境。堆场的场坪、路面应当硬化处理，划分料区和道路界限，及时清除散落的物料。未硬化的裸土空地应设置绿化。堆场出口处应设置车辆清洗专用场地，配备运输车辆冲洗保洁设施。运输车厢应采取密闭措施或有效篷盖。</w:t>
      </w:r>
    </w:p>
    <w:p>
      <w:pPr>
        <w:spacing w:line="560" w:lineRule="exact"/>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 xml:space="preserve">    </w:t>
      </w:r>
      <w:r>
        <w:rPr>
          <w:rFonts w:hint="eastAsia" w:ascii="楷体_GB2312" w:hAnsi="楷体_GB2312" w:eastAsia="楷体_GB2312" w:cs="楷体_GB2312"/>
          <w:b/>
          <w:sz w:val="32"/>
          <w:szCs w:val="32"/>
        </w:rPr>
        <w:t>（七）</w:t>
      </w:r>
      <w:r>
        <w:rPr>
          <w:rFonts w:hint="eastAsia" w:ascii="楷体_GB2312" w:hAnsi="楷体_GB2312" w:eastAsia="楷体_GB2312" w:cs="楷体_GB2312"/>
          <w:b/>
          <w:bCs/>
          <w:sz w:val="32"/>
          <w:szCs w:val="32"/>
        </w:rPr>
        <w:t>生活垃圾、桔秆等农业种植废弃物等处置</w:t>
      </w:r>
    </w:p>
    <w:p>
      <w:pPr>
        <w:spacing w:line="560" w:lineRule="exact"/>
        <w:ind w:firstLine="645"/>
        <w:rPr>
          <w:rFonts w:eastAsia="仿宋_GB2312"/>
          <w:sz w:val="32"/>
          <w:szCs w:val="32"/>
        </w:rPr>
      </w:pPr>
      <w:r>
        <w:rPr>
          <w:rFonts w:eastAsia="仿宋_GB2312"/>
          <w:sz w:val="32"/>
          <w:szCs w:val="32"/>
        </w:rPr>
        <w:t>配套农村生活垃圾转运站，扩大生活垃圾收集范围，做到垃圾日产日清。开展秸杆综合利用调研，学习、借鉴其它省、市、地区的先进经验，探索桔秆等农业种植废弃物综合利用的途径和方法，开展秸杆综合利用工作；区执法局、各镇（街、场）、村（居）形成联动工作机制，加大宣传和检查督促力度，杜绝露天焚烧垃圾和秸杆现象的发生。</w:t>
      </w:r>
    </w:p>
    <w:p>
      <w:pPr>
        <w:spacing w:line="560" w:lineRule="exact"/>
        <w:ind w:firstLine="645"/>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（八）提升道路清扫保洁管理水平</w:t>
      </w:r>
    </w:p>
    <w:p>
      <w:pPr>
        <w:spacing w:line="560" w:lineRule="exact"/>
        <w:ind w:firstLine="645"/>
        <w:rPr>
          <w:rFonts w:eastAsia="仿宋_GB2312"/>
          <w:sz w:val="32"/>
          <w:szCs w:val="32"/>
        </w:rPr>
      </w:pPr>
      <w:r>
        <w:rPr>
          <w:rFonts w:eastAsia="仿宋_GB2312"/>
          <w:sz w:val="32"/>
          <w:szCs w:val="32"/>
        </w:rPr>
        <w:t>落实“道路清洗工程”，加快保洁车辆的升级更新，提高道路“吸、扫、冲、收”保洁一体化方式的作业率，提高清扫机械化率和保洁水平，祥福路、新兴街、洪钟大道、巷南路等4条道路的主干道每周至少集中清洗一次，次干道也要每周冲洒一次以上，并逐步增加主干道清洗数量。</w:t>
      </w:r>
    </w:p>
    <w:p>
      <w:pPr>
        <w:spacing w:line="560" w:lineRule="exact"/>
        <w:ind w:firstLine="645"/>
        <w:rPr>
          <w:rFonts w:hint="eastAsia" w:ascii="楷体_GB2312" w:hAnsi="楷体_GB2312" w:eastAsia="楷体_GB2312" w:cs="楷体_GB2312"/>
          <w:b/>
          <w:sz w:val="32"/>
          <w:szCs w:val="32"/>
        </w:rPr>
      </w:pPr>
      <w:r>
        <w:rPr>
          <w:rFonts w:hint="eastAsia" w:ascii="楷体_GB2312" w:hAnsi="楷体_GB2312" w:eastAsia="楷体_GB2312" w:cs="楷体_GB2312"/>
          <w:b/>
          <w:sz w:val="32"/>
          <w:szCs w:val="32"/>
        </w:rPr>
        <w:t>（九）加快、加强建筑废土消纳场、中转站的建设及管理</w:t>
      </w:r>
    </w:p>
    <w:p>
      <w:pPr>
        <w:spacing w:line="560" w:lineRule="exact"/>
        <w:ind w:firstLine="645"/>
        <w:rPr>
          <w:rFonts w:eastAsia="仿宋_GB2312"/>
          <w:sz w:val="32"/>
          <w:szCs w:val="32"/>
        </w:rPr>
      </w:pPr>
      <w:r>
        <w:rPr>
          <w:rFonts w:eastAsia="仿宋_GB2312"/>
          <w:sz w:val="32"/>
          <w:szCs w:val="32"/>
        </w:rPr>
        <w:t>加快建筑废土消纳场及中转站的建设，已列为2015年为民办</w:t>
      </w:r>
      <w:r>
        <w:rPr>
          <w:rFonts w:hint="eastAsia" w:eastAsia="仿宋_GB2312"/>
          <w:sz w:val="32"/>
          <w:szCs w:val="32"/>
          <w:lang w:eastAsia="zh-CN"/>
        </w:rPr>
        <w:t>实事</w:t>
      </w:r>
      <w:r>
        <w:rPr>
          <w:rFonts w:eastAsia="仿宋_GB2312"/>
          <w:sz w:val="32"/>
          <w:szCs w:val="32"/>
        </w:rPr>
        <w:t>项目，具体由翔发集团代建，正在抓紧实施土地的收储及设计等前期工作。届时将同步建立完善相关的消纳管理体系和管理制度。进入中转站、消纳场的建筑废土按规定要求堆放整齐，采用网膜覆盖，并实施洒水、喷雾，防止扬尘产生，废土填埋区应同时进行绿化。中转站、消纳场出入口应配备洗车设施，防止车辆进出场地夹带泥土污染路面。</w:t>
      </w:r>
    </w:p>
    <w:p>
      <w:pPr>
        <w:spacing w:line="560" w:lineRule="exact"/>
        <w:rPr>
          <w:rFonts w:hint="eastAsia" w:ascii="黑体" w:hAnsi="黑体" w:eastAsia="黑体" w:cs="黑体"/>
          <w:sz w:val="32"/>
          <w:szCs w:val="32"/>
        </w:rPr>
      </w:pPr>
      <w:r>
        <w:rPr>
          <w:rFonts w:hint="eastAsia" w:ascii="黑体" w:hAnsi="黑体" w:eastAsia="黑体" w:cs="黑体"/>
          <w:sz w:val="32"/>
          <w:szCs w:val="32"/>
        </w:rPr>
        <w:t xml:space="preserve">    三、责任分工</w:t>
      </w:r>
    </w:p>
    <w:p>
      <w:pPr>
        <w:spacing w:line="560" w:lineRule="exact"/>
        <w:rPr>
          <w:rFonts w:eastAsia="仿宋_GB2312"/>
          <w:sz w:val="32"/>
          <w:szCs w:val="32"/>
        </w:rPr>
      </w:pPr>
      <w:r>
        <w:rPr>
          <w:rFonts w:eastAsia="仿宋_GB2312"/>
          <w:sz w:val="32"/>
          <w:szCs w:val="32"/>
        </w:rPr>
        <w:t xml:space="preserve">    各有关部门依照相关法律、法规规定的职责开展扬尘防治工作，具体责任分工如下：</w:t>
      </w:r>
    </w:p>
    <w:p>
      <w:pPr>
        <w:spacing w:line="560" w:lineRule="exact"/>
        <w:ind w:firstLine="640" w:firstLineChars="200"/>
        <w:rPr>
          <w:rFonts w:eastAsia="仿宋_GB2312"/>
          <w:sz w:val="32"/>
          <w:szCs w:val="32"/>
        </w:rPr>
      </w:pPr>
      <w:r>
        <w:rPr>
          <w:rFonts w:hint="eastAsia" w:ascii="楷体_GB2312" w:hAnsi="楷体_GB2312" w:eastAsia="楷体_GB2312" w:cs="楷体_GB2312"/>
          <w:b/>
          <w:bCs/>
          <w:sz w:val="32"/>
          <w:szCs w:val="32"/>
        </w:rPr>
        <w:t>区建设局</w:t>
      </w:r>
      <w:r>
        <w:rPr>
          <w:rFonts w:eastAsia="仿宋_GB2312"/>
          <w:sz w:val="32"/>
          <w:szCs w:val="32"/>
        </w:rPr>
        <w:t>负责牵头协调指导区管各类工地的扬尘防治工作，具体负责区管房屋建筑、市政基础设施、道路维护修缮、园林绿化、地下管线等工程项目的扬尘防治工作；此外，区</w:t>
      </w:r>
      <w:bookmarkStart w:id="0" w:name="_GoBack"/>
      <w:bookmarkEnd w:id="0"/>
      <w:r>
        <w:rPr>
          <w:rFonts w:eastAsia="仿宋_GB2312"/>
          <w:sz w:val="32"/>
          <w:szCs w:val="32"/>
        </w:rPr>
        <w:t>建设局还要协助市级相关职能部门对市管房屋建筑、市政基础设施、道路维护修缮、园林绿化、地下管线等工程项目和预拌混凝土搅拌站的扬尘防治工作；负责牵头</w:t>
      </w:r>
      <w:r>
        <w:rPr>
          <w:rFonts w:eastAsia="仿宋_GB2312"/>
          <w:bCs/>
          <w:sz w:val="32"/>
          <w:szCs w:val="32"/>
        </w:rPr>
        <w:t>提升道路清扫保洁管理水平，统筹全区垃圾收集转运，</w:t>
      </w:r>
      <w:r>
        <w:rPr>
          <w:rFonts w:eastAsia="仿宋_GB2312"/>
          <w:sz w:val="32"/>
          <w:szCs w:val="32"/>
        </w:rPr>
        <w:t>规范全区建筑废土消纳管理。</w:t>
      </w:r>
    </w:p>
    <w:p>
      <w:pPr>
        <w:spacing w:line="560" w:lineRule="exact"/>
        <w:rPr>
          <w:rFonts w:eastAsia="仿宋_GB2312"/>
          <w:sz w:val="32"/>
          <w:szCs w:val="32"/>
        </w:rPr>
      </w:pPr>
      <w:r>
        <w:rPr>
          <w:rFonts w:eastAsia="仿宋_GB2312"/>
          <w:sz w:val="32"/>
          <w:szCs w:val="32"/>
        </w:rPr>
        <w:t xml:space="preserve">    </w:t>
      </w:r>
      <w:r>
        <w:rPr>
          <w:rFonts w:hint="eastAsia" w:ascii="楷体_GB2312" w:hAnsi="楷体_GB2312" w:eastAsia="楷体_GB2312" w:cs="楷体_GB2312"/>
          <w:b/>
          <w:bCs/>
          <w:sz w:val="32"/>
          <w:szCs w:val="32"/>
        </w:rPr>
        <w:t>区环保分局</w:t>
      </w:r>
      <w:r>
        <w:rPr>
          <w:rFonts w:eastAsia="仿宋_GB2312"/>
          <w:sz w:val="32"/>
          <w:szCs w:val="32"/>
        </w:rPr>
        <w:t>牵头负责协调指导各类非工地扬尘防治工作，具体负责对工业企业生产和所有工业企业易扬尘料场的扬尘防治工作；</w:t>
      </w:r>
    </w:p>
    <w:p>
      <w:pPr>
        <w:spacing w:line="560" w:lineRule="exact"/>
        <w:rPr>
          <w:rFonts w:eastAsia="仿宋_GB2312"/>
          <w:sz w:val="32"/>
          <w:szCs w:val="32"/>
        </w:rPr>
      </w:pPr>
      <w:r>
        <w:rPr>
          <w:rFonts w:eastAsia="仿宋_GB2312"/>
          <w:sz w:val="32"/>
          <w:szCs w:val="32"/>
        </w:rPr>
        <w:t xml:space="preserve">    </w:t>
      </w:r>
      <w:r>
        <w:rPr>
          <w:rFonts w:hint="eastAsia" w:ascii="楷体_GB2312" w:hAnsi="楷体_GB2312" w:eastAsia="楷体_GB2312" w:cs="楷体_GB2312"/>
          <w:b/>
          <w:bCs/>
          <w:sz w:val="32"/>
          <w:szCs w:val="32"/>
        </w:rPr>
        <w:t>区交通局</w:t>
      </w:r>
      <w:r>
        <w:rPr>
          <w:rFonts w:eastAsia="仿宋_GB2312"/>
          <w:sz w:val="32"/>
          <w:szCs w:val="32"/>
        </w:rPr>
        <w:t>负责交通工程的扬尘防治工作，负责提升管养道路清扫保洁水平；</w:t>
      </w:r>
    </w:p>
    <w:p>
      <w:pPr>
        <w:spacing w:line="560" w:lineRule="exact"/>
        <w:ind w:firstLine="640" w:firstLineChars="200"/>
        <w:rPr>
          <w:rFonts w:eastAsia="仿宋_GB2312"/>
          <w:sz w:val="32"/>
          <w:szCs w:val="32"/>
        </w:rPr>
      </w:pPr>
      <w:r>
        <w:rPr>
          <w:rFonts w:hint="eastAsia" w:ascii="楷体_GB2312" w:hAnsi="楷体_GB2312" w:eastAsia="楷体_GB2312" w:cs="楷体_GB2312"/>
          <w:b/>
          <w:bCs/>
          <w:sz w:val="32"/>
          <w:szCs w:val="32"/>
        </w:rPr>
        <w:t>区公路分局</w:t>
      </w:r>
      <w:r>
        <w:rPr>
          <w:rFonts w:eastAsia="仿宋_GB2312"/>
          <w:sz w:val="32"/>
          <w:szCs w:val="32"/>
        </w:rPr>
        <w:t>负责提升管辖范围内道路清扫保洁水平；</w:t>
      </w:r>
    </w:p>
    <w:p>
      <w:pPr>
        <w:spacing w:line="560" w:lineRule="exact"/>
        <w:ind w:firstLine="640" w:firstLineChars="200"/>
        <w:rPr>
          <w:rFonts w:eastAsia="仿宋_GB2312"/>
          <w:sz w:val="32"/>
          <w:szCs w:val="32"/>
        </w:rPr>
      </w:pPr>
      <w:r>
        <w:rPr>
          <w:rFonts w:hint="eastAsia" w:ascii="楷体_GB2312" w:hAnsi="楷体_GB2312" w:eastAsia="楷体_GB2312" w:cs="楷体_GB2312"/>
          <w:b/>
          <w:bCs/>
          <w:sz w:val="32"/>
          <w:szCs w:val="32"/>
        </w:rPr>
        <w:t>区农林水利局</w:t>
      </w:r>
      <w:r>
        <w:rPr>
          <w:rFonts w:eastAsia="仿宋_GB2312"/>
          <w:sz w:val="32"/>
          <w:szCs w:val="32"/>
        </w:rPr>
        <w:t>负责水利工程、河道采砂、海上采砂、港口码头施工（经营）的扬尘防治工作；牵头负责开展秸杆综合利用调研，探索秸杆综合利用的途径和方法，指导各镇（街、场）、村（居）开展秸杆综合利用工作；</w:t>
      </w:r>
    </w:p>
    <w:p>
      <w:pPr>
        <w:spacing w:line="560" w:lineRule="exact"/>
        <w:ind w:firstLine="640" w:firstLineChars="200"/>
        <w:rPr>
          <w:rFonts w:eastAsia="仿宋_GB2312"/>
          <w:sz w:val="32"/>
          <w:szCs w:val="32"/>
        </w:rPr>
      </w:pPr>
      <w:r>
        <w:rPr>
          <w:rFonts w:hint="eastAsia" w:ascii="楷体_GB2312" w:hAnsi="楷体_GB2312" w:eastAsia="楷体_GB2312" w:cs="楷体_GB2312"/>
          <w:b/>
          <w:bCs/>
          <w:sz w:val="32"/>
          <w:szCs w:val="32"/>
        </w:rPr>
        <w:t>区行政执法局</w:t>
      </w:r>
      <w:r>
        <w:rPr>
          <w:rFonts w:eastAsia="仿宋_GB2312"/>
          <w:sz w:val="32"/>
          <w:szCs w:val="32"/>
        </w:rPr>
        <w:t xml:space="preserve">负责场平工程、待建工地的扬尘污染执法及露天烧烤、焚烧垃圾秸杆的管控工作，负责查处不按指定地点倾倒建筑废土垃圾，对辖区扬尘污染的日常巡查； </w:t>
      </w:r>
    </w:p>
    <w:p>
      <w:pPr>
        <w:spacing w:line="560" w:lineRule="exact"/>
        <w:ind w:firstLine="640" w:firstLineChars="200"/>
        <w:rPr>
          <w:rFonts w:eastAsia="仿宋_GB2312"/>
          <w:sz w:val="32"/>
          <w:szCs w:val="32"/>
        </w:rPr>
      </w:pPr>
      <w:r>
        <w:rPr>
          <w:rFonts w:hint="eastAsia" w:ascii="楷体_GB2312" w:hAnsi="楷体_GB2312" w:eastAsia="楷体_GB2312" w:cs="楷体_GB2312"/>
          <w:b/>
          <w:bCs/>
          <w:sz w:val="32"/>
          <w:szCs w:val="32"/>
        </w:rPr>
        <w:t>区国土房产局</w:t>
      </w:r>
      <w:r>
        <w:rPr>
          <w:rFonts w:eastAsia="仿宋_GB2312"/>
          <w:sz w:val="32"/>
          <w:szCs w:val="32"/>
        </w:rPr>
        <w:t>负责采石(砂)场的扬尘防治工作，其中区安监局负责牵头整治内厝镇小光山采石场的扬尘污染综合治理；</w:t>
      </w:r>
    </w:p>
    <w:p>
      <w:pPr>
        <w:spacing w:line="560" w:lineRule="exact"/>
        <w:rPr>
          <w:rFonts w:eastAsia="仿宋_GB2312"/>
          <w:sz w:val="32"/>
          <w:szCs w:val="32"/>
        </w:rPr>
      </w:pPr>
      <w:r>
        <w:rPr>
          <w:rFonts w:eastAsia="仿宋_GB2312"/>
          <w:sz w:val="32"/>
          <w:szCs w:val="32"/>
        </w:rPr>
        <w:t xml:space="preserve">    </w:t>
      </w:r>
      <w:r>
        <w:rPr>
          <w:rFonts w:hint="eastAsia" w:ascii="楷体_GB2312" w:hAnsi="楷体_GB2312" w:eastAsia="楷体_GB2312" w:cs="楷体_GB2312"/>
          <w:b/>
          <w:bCs/>
          <w:sz w:val="32"/>
          <w:szCs w:val="32"/>
        </w:rPr>
        <w:t>市土总、火炬高新区管委会</w:t>
      </w:r>
      <w:r>
        <w:rPr>
          <w:rFonts w:eastAsia="仿宋_GB2312"/>
          <w:sz w:val="32"/>
          <w:szCs w:val="32"/>
        </w:rPr>
        <w:t>负责各自储备用地和所属工地的扬尘防治工作；</w:t>
      </w:r>
    </w:p>
    <w:p>
      <w:pPr>
        <w:spacing w:line="560" w:lineRule="exact"/>
        <w:ind w:firstLine="640" w:firstLineChars="200"/>
        <w:rPr>
          <w:rFonts w:eastAsia="仿宋_GB2312"/>
          <w:sz w:val="32"/>
          <w:szCs w:val="32"/>
        </w:rPr>
      </w:pPr>
      <w:r>
        <w:rPr>
          <w:rFonts w:hint="eastAsia" w:ascii="楷体_GB2312" w:hAnsi="楷体_GB2312" w:eastAsia="楷体_GB2312" w:cs="楷体_GB2312"/>
          <w:b/>
          <w:bCs/>
          <w:sz w:val="32"/>
          <w:szCs w:val="32"/>
        </w:rPr>
        <w:t>国网厦门供电公司同翔客户服务中心</w:t>
      </w:r>
      <w:r>
        <w:rPr>
          <w:rFonts w:eastAsia="仿宋_GB2312"/>
          <w:sz w:val="32"/>
          <w:szCs w:val="32"/>
        </w:rPr>
        <w:t>负责电力、电力管线工程的扬尘防治工作；</w:t>
      </w:r>
    </w:p>
    <w:p>
      <w:pPr>
        <w:spacing w:line="560" w:lineRule="exact"/>
        <w:ind w:firstLine="640" w:firstLineChars="200"/>
        <w:rPr>
          <w:rFonts w:eastAsia="仿宋_GB2312"/>
          <w:sz w:val="32"/>
          <w:szCs w:val="32"/>
        </w:rPr>
      </w:pPr>
      <w:r>
        <w:rPr>
          <w:rFonts w:hint="eastAsia" w:ascii="楷体_GB2312" w:hAnsi="楷体_GB2312" w:eastAsia="楷体_GB2312" w:cs="楷体_GB2312"/>
          <w:b/>
          <w:bCs/>
          <w:sz w:val="32"/>
          <w:szCs w:val="32"/>
        </w:rPr>
        <w:t>其他各类工程监管部门</w:t>
      </w:r>
      <w:r>
        <w:rPr>
          <w:rFonts w:eastAsia="仿宋_GB2312"/>
          <w:sz w:val="32"/>
          <w:szCs w:val="32"/>
        </w:rPr>
        <w:t>负责各自监管工程的扬尘污染执法工作；</w:t>
      </w:r>
    </w:p>
    <w:p>
      <w:pPr>
        <w:spacing w:line="560" w:lineRule="exact"/>
        <w:ind w:firstLine="640" w:firstLineChars="200"/>
        <w:rPr>
          <w:rFonts w:eastAsia="仿宋_GB2312"/>
          <w:sz w:val="32"/>
          <w:szCs w:val="32"/>
        </w:rPr>
      </w:pPr>
      <w:r>
        <w:rPr>
          <w:rFonts w:hint="eastAsia" w:ascii="楷体_GB2312" w:hAnsi="楷体_GB2312" w:eastAsia="楷体_GB2312" w:cs="楷体_GB2312"/>
          <w:b/>
          <w:bCs/>
          <w:sz w:val="32"/>
          <w:szCs w:val="32"/>
        </w:rPr>
        <w:t>各镇街</w:t>
      </w:r>
      <w:r>
        <w:rPr>
          <w:rFonts w:eastAsia="仿宋_GB2312"/>
          <w:sz w:val="32"/>
          <w:szCs w:val="32"/>
        </w:rPr>
        <w:t>负责辖区内镇属各类型工地、镇属拆除工程、小作坊粉尘、其他物流场地易扬尘料场的扬尘防治；配合各部门抓好建筑废土管理、垃圾收集转运、秸杆综合利用、道路清扫保洁等工作。</w:t>
      </w:r>
    </w:p>
    <w:p>
      <w:pPr>
        <w:spacing w:line="560" w:lineRule="exact"/>
        <w:rPr>
          <w:rFonts w:hint="eastAsia" w:ascii="黑体" w:hAnsi="黑体" w:eastAsia="黑体" w:cs="黑体"/>
          <w:sz w:val="32"/>
          <w:szCs w:val="32"/>
        </w:rPr>
      </w:pPr>
      <w:r>
        <w:rPr>
          <w:rFonts w:hint="eastAsia" w:ascii="黑体" w:hAnsi="黑体" w:eastAsia="黑体" w:cs="黑体"/>
          <w:sz w:val="32"/>
          <w:szCs w:val="32"/>
        </w:rPr>
        <w:t xml:space="preserve">    五、保障措施</w:t>
      </w:r>
    </w:p>
    <w:p>
      <w:pPr>
        <w:spacing w:line="560" w:lineRule="exact"/>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 xml:space="preserve">    （一）加强组织领导</w:t>
      </w:r>
    </w:p>
    <w:p>
      <w:pPr>
        <w:spacing w:line="560" w:lineRule="exact"/>
        <w:ind w:firstLine="640" w:firstLineChars="200"/>
        <w:rPr>
          <w:rFonts w:eastAsia="仿宋_GB2312"/>
          <w:sz w:val="32"/>
          <w:szCs w:val="32"/>
        </w:rPr>
      </w:pPr>
      <w:r>
        <w:rPr>
          <w:rFonts w:eastAsia="仿宋_GB2312"/>
          <w:sz w:val="32"/>
          <w:szCs w:val="32"/>
        </w:rPr>
        <w:t>各部门要高度重视扬尘防治工作，将其作为改善城市环境空气质量的一项重要工作常抓不懈。要成立专门的工作推进小组，加强对各类工地建设单位的业务指导，定期召开扬尘防治工作推进会，及时解决工作中的难点，做到有部署、有措施。</w:t>
      </w:r>
    </w:p>
    <w:p>
      <w:pPr>
        <w:spacing w:line="560" w:lineRule="exact"/>
        <w:ind w:firstLine="640" w:firstLineChars="200"/>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（二）落实主体责任</w:t>
      </w:r>
    </w:p>
    <w:p>
      <w:pPr>
        <w:spacing w:line="560" w:lineRule="exact"/>
        <w:ind w:firstLine="640" w:firstLineChars="200"/>
        <w:rPr>
          <w:rFonts w:eastAsia="仿宋_GB2312"/>
          <w:sz w:val="32"/>
          <w:szCs w:val="32"/>
        </w:rPr>
      </w:pPr>
      <w:r>
        <w:rPr>
          <w:rFonts w:eastAsia="仿宋_GB2312"/>
          <w:sz w:val="32"/>
          <w:szCs w:val="32"/>
        </w:rPr>
        <w:t>各类工地的建设单位应当将防治扬尘污染的费用列入工程概算。建设单位在招标文件中应当要求投标人在投标文件中，制定施工现场扬尘防治措施，并列入技术标评标内容。中标人与建设单位签订的合同中应当包括招标文件中的施工现场扬尘防治措施，并明确扬尘防治责任。工地施工单位、搅拌站、砂石场、码头、堆场、工业企业等经营单位是扬尘防治的第一责任人，要明确扬尘防治管理机构，制定企业扬尘防治具体措施，做到管理人员到位、责任落实到位、检查整改到位，确保扬尘防治工作目标完成。</w:t>
      </w:r>
    </w:p>
    <w:p>
      <w:pPr>
        <w:spacing w:line="560" w:lineRule="exact"/>
        <w:ind w:firstLine="640" w:firstLineChars="200"/>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（三）严格执法督查</w:t>
      </w:r>
    </w:p>
    <w:p>
      <w:pPr>
        <w:spacing w:line="560" w:lineRule="exact"/>
        <w:rPr>
          <w:rFonts w:eastAsia="仿宋_GB2312"/>
          <w:sz w:val="32"/>
          <w:szCs w:val="32"/>
        </w:rPr>
      </w:pPr>
      <w:r>
        <w:rPr>
          <w:rFonts w:eastAsia="仿宋_GB2312"/>
          <w:sz w:val="32"/>
          <w:szCs w:val="32"/>
        </w:rPr>
        <w:t xml:space="preserve">    各部门要加强执法力度，对发现的扬尘污染问题下达整改通知书，通过责令限期改正、停工改正、约谈责任单位法人、记录责任单位不良行为记录、行政处罚、不予评优评先等手段，建立常态化扬尘防治机制，确保扬尘防治工作取得实效。</w:t>
      </w:r>
    </w:p>
    <w:p>
      <w:pPr>
        <w:spacing w:line="560" w:lineRule="exact"/>
        <w:ind w:firstLine="640" w:firstLineChars="200"/>
        <w:rPr>
          <w:rFonts w:eastAsia="仿宋_GB2312"/>
          <w:sz w:val="32"/>
          <w:szCs w:val="32"/>
        </w:rPr>
      </w:pPr>
      <w:r>
        <w:rPr>
          <w:rFonts w:eastAsia="仿宋_GB2312"/>
          <w:sz w:val="32"/>
          <w:szCs w:val="32"/>
        </w:rPr>
        <w:t>监理(建设)单位要加强对施工企业扬尘防治执行情况的检查，督促施工企业落实扬尘防治措施。</w:t>
      </w:r>
    </w:p>
    <w:p>
      <w:pPr>
        <w:spacing w:line="560" w:lineRule="exact"/>
        <w:ind w:firstLine="640" w:firstLineChars="200"/>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（四）强化舆论监督</w:t>
      </w:r>
    </w:p>
    <w:p>
      <w:pPr>
        <w:spacing w:line="560" w:lineRule="exact"/>
        <w:rPr>
          <w:rFonts w:eastAsia="仿宋_GB2312"/>
          <w:sz w:val="28"/>
          <w:szCs w:val="32"/>
        </w:rPr>
      </w:pPr>
      <w:r>
        <w:rPr>
          <w:rFonts w:eastAsia="仿宋_GB2312"/>
          <w:sz w:val="32"/>
          <w:szCs w:val="32"/>
        </w:rPr>
        <w:t xml:space="preserve">    各部门要加大宣传力度，充分发挥舆论导向作用。要向社会公布扬尘防治工作有关管理标准，提高广大群众的知晓率，要在新闻媒体上曝光典型扬尘污染案例，发动群众和社会力量积极参与，形成良好的公众参与扬尘防治的社会氛围。</w:t>
      </w:r>
    </w:p>
    <w:sectPr>
      <w:footerReference r:id="rId3" w:type="default"/>
      <w:pgSz w:w="11906" w:h="16838"/>
      <w:pgMar w:top="1417" w:right="1417" w:bottom="1417" w:left="1531" w:header="851" w:footer="1020" w:gutter="0"/>
      <w:pgNumType w:fmt="numberInDash"/>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A0204"/>
    <w:charset w:val="00"/>
    <w:family w:val="roman"/>
    <w:pitch w:val="default"/>
    <w:sig w:usb0="E00002FF" w:usb1="4000045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Courier New">
    <w:panose1 w:val="02070309020205020404"/>
    <w:charset w:val="00"/>
    <w:family w:val="modern"/>
    <w:pitch w:val="default"/>
    <w:sig w:usb0="E0002AFF" w:usb1="C0007843" w:usb2="00000009" w:usb3="00000000" w:csb0="400001FF" w:csb1="FFFF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outside" w:yAlign="top"/>
      <w:pBdr>
        <w:between w:val="none" w:color="auto" w:sz="50" w:space="0"/>
      </w:pBdr>
      <w:rPr>
        <w:sz w:val="28"/>
      </w:rPr>
    </w:pPr>
    <w:r>
      <w:rPr>
        <w:rFonts w:ascii="宋体" w:hAnsi="宋体" w:cs="宋体"/>
        <w:sz w:val="28"/>
        <w:szCs w:val="28"/>
      </w:rPr>
      <w:fldChar w:fldCharType="begin"/>
    </w:r>
    <w:r>
      <w:rPr>
        <w:rStyle w:val="9"/>
        <w:rFonts w:ascii="宋体" w:hAnsi="宋体" w:cs="宋体"/>
        <w:sz w:val="28"/>
        <w:szCs w:val="28"/>
      </w:rPr>
      <w:instrText xml:space="preserve"> PAGE  </w:instrText>
    </w:r>
    <w:r>
      <w:rPr>
        <w:rFonts w:ascii="宋体" w:hAnsi="宋体" w:cs="宋体"/>
        <w:sz w:val="28"/>
        <w:szCs w:val="28"/>
      </w:rPr>
      <w:fldChar w:fldCharType="separate"/>
    </w:r>
    <w:r>
      <w:rPr>
        <w:rStyle w:val="9"/>
        <w:rFonts w:ascii="宋体" w:hAnsi="宋体" w:cs="宋体"/>
        <w:sz w:val="28"/>
        <w:szCs w:val="28"/>
      </w:rPr>
      <w:t>- 1 -</w:t>
    </w:r>
    <w:r>
      <w:rPr>
        <w:rFonts w:ascii="宋体" w:hAnsi="宋体" w:cs="宋体"/>
        <w:sz w:val="28"/>
        <w:szCs w:val="28"/>
      </w:rPr>
      <w:fldChar w:fldCharType="end"/>
    </w:r>
  </w:p>
  <w:p>
    <w:pPr>
      <w:pStyle w:val="6"/>
      <w:ind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documentProtection w:enforcement="0"/>
  <w:defaultTabStop w:val="420"/>
  <w:drawingGridHorizontalSpacing w:val="210"/>
  <w:drawingGridVerticalSpacing w:val="156"/>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2"/>
  </w:compat>
  <w:rsids>
    <w:rsidRoot w:val="00172A27"/>
    <w:rsid w:val="004C0FDB"/>
    <w:rsid w:val="00516C30"/>
    <w:rsid w:val="262074A2"/>
  </w:rsids>
  <m:mathPr>
    <m:lMargin m:val="0"/>
    <m:mathFont m:val="Cambria Math"/>
    <m:rMargin m:val="0"/>
    <m:wrapIndent m:val="1440"/>
    <m:brkBin m:val="before"/>
    <m:brkBinSub m:val="--"/>
    <m:defJc m:val="centerGroup"/>
    <m:intLim m:val="subSup"/>
    <m:naryLim m:val="undOvr"/>
    <m:smallFrac m:val="off"/>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uiPriority w:val="0"/>
  </w:style>
  <w:style w:type="table" w:default="1" w:styleId="10">
    <w:name w:val="Normal Table"/>
    <w:unhideWhenUsed/>
    <w:uiPriority w:val="99"/>
    <w:tblPr>
      <w:tblLayout w:type="fixed"/>
      <w:tblCellMar>
        <w:top w:w="0" w:type="dxa"/>
        <w:left w:w="108" w:type="dxa"/>
        <w:bottom w:w="0" w:type="dxa"/>
        <w:right w:w="108" w:type="dxa"/>
      </w:tblCellMar>
    </w:tblPr>
  </w:style>
  <w:style w:type="paragraph" w:styleId="2">
    <w:name w:val="Body Text"/>
    <w:basedOn w:val="1"/>
    <w:uiPriority w:val="0"/>
    <w:rPr>
      <w:rFonts w:eastAsia="仿宋_GB2312"/>
      <w:sz w:val="32"/>
    </w:rPr>
  </w:style>
  <w:style w:type="paragraph" w:styleId="3">
    <w:name w:val="Body Text Indent"/>
    <w:basedOn w:val="1"/>
    <w:uiPriority w:val="0"/>
    <w:pPr>
      <w:ind w:firstLine="600"/>
    </w:pPr>
    <w:rPr>
      <w:rFonts w:eastAsia="仿宋_GB2312"/>
      <w:sz w:val="32"/>
    </w:rPr>
  </w:style>
  <w:style w:type="paragraph" w:styleId="4">
    <w:name w:val="Plain Text"/>
    <w:basedOn w:val="1"/>
    <w:uiPriority w:val="0"/>
    <w:rPr>
      <w:rFonts w:ascii="宋体" w:hAnsi="Courier New" w:cs="Courier New"/>
      <w:szCs w:val="21"/>
    </w:rPr>
  </w:style>
  <w:style w:type="paragraph" w:styleId="5">
    <w:name w:val="Balloon Text"/>
    <w:basedOn w:val="1"/>
    <w:uiPriority w:val="0"/>
    <w:rPr>
      <w:sz w:val="18"/>
      <w:szCs w:val="18"/>
    </w:rPr>
  </w:style>
  <w:style w:type="paragraph" w:styleId="6">
    <w:name w:val="footer"/>
    <w:basedOn w:val="1"/>
    <w:uiPriority w:val="0"/>
    <w:pPr>
      <w:tabs>
        <w:tab w:val="center" w:pos="4153"/>
        <w:tab w:val="right" w:pos="8306"/>
      </w:tabs>
      <w:snapToGrid w:val="0"/>
      <w:jc w:val="left"/>
    </w:pPr>
    <w:rPr>
      <w:sz w:val="18"/>
      <w:szCs w:val="18"/>
    </w:rPr>
  </w:style>
  <w:style w:type="paragraph" w:styleId="7">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styleId="9">
    <w:name w:val="page number"/>
    <w:basedOn w:val="8"/>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Pages>
  <Words>549</Words>
  <Characters>3135</Characters>
  <Lines>26</Lines>
  <Paragraphs>7</Paragraphs>
  <TotalTime>0</TotalTime>
  <ScaleCrop>false</ScaleCrop>
  <LinksUpToDate>false</LinksUpToDate>
  <CharactersWithSpaces>3677</CharactersWithSpaces>
  <Application>WPS Office_10.8.0.5761_F1E327BC-269C-435d-A152-05C5408002CA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2015-05-28T07:05:00Z</dcterms:created>
  <dc:creator>Administrator</dc:creator>
  <cp:lastModifiedBy>Administrator</cp:lastModifiedBy>
  <cp:lastPrinted>2015-05-14T01:06:00Z</cp:lastPrinted>
  <dcterms:modified xsi:type="dcterms:W3CDTF">2022-10-19T08:05:33Z</dcterms:modified>
  <dc:title>厦门市翔安区建设局文件</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2052-10.8.0.5761</vt:lpwstr>
  </property>
</Properties>
</file>