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beforeAutospacing="0" w:after="0" w:afterAutospacing="0" w:line="600" w:lineRule="exact"/>
        <w:jc w:val="both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2</w:t>
      </w: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</w:rPr>
        <w:t>2020年度区直政府部门绩效评估指标体系</w:t>
      </w:r>
    </w:p>
    <w:bookmarkEnd w:id="0"/>
    <w:tbl>
      <w:tblPr>
        <w:tblStyle w:val="4"/>
        <w:tblpPr w:leftFromText="180" w:rightFromText="180" w:vertAnchor="text" w:horzAnchor="page" w:tblpX="1456" w:tblpY="386"/>
        <w:tblOverlap w:val="never"/>
        <w:tblW w:w="14102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0"/>
        <w:gridCol w:w="1761"/>
        <w:gridCol w:w="750"/>
        <w:gridCol w:w="694"/>
        <w:gridCol w:w="4350"/>
        <w:gridCol w:w="1612"/>
        <w:gridCol w:w="2100"/>
        <w:gridCol w:w="202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tblHeader/>
        </w:trPr>
        <w:tc>
          <w:tcPr>
            <w:tcW w:w="810" w:type="dxa"/>
            <w:noWrap w:val="0"/>
            <w:vAlign w:val="center"/>
          </w:tcPr>
          <w:p>
            <w:pPr>
              <w:widowControl/>
              <w:jc w:val="center"/>
              <w:rPr>
                <w:rFonts w:eastAsia="黑体"/>
                <w:color w:val="auto"/>
                <w:kern w:val="0"/>
                <w:sz w:val="24"/>
              </w:rPr>
            </w:pPr>
            <w:r>
              <w:rPr>
                <w:rFonts w:eastAsia="黑体"/>
                <w:color w:val="auto"/>
                <w:kern w:val="0"/>
                <w:sz w:val="24"/>
              </w:rPr>
              <w:t>项目</w:t>
            </w:r>
          </w:p>
        </w:tc>
        <w:tc>
          <w:tcPr>
            <w:tcW w:w="1761" w:type="dxa"/>
            <w:noWrap w:val="0"/>
            <w:vAlign w:val="center"/>
          </w:tcPr>
          <w:p>
            <w:pPr>
              <w:widowControl/>
              <w:jc w:val="center"/>
              <w:rPr>
                <w:rFonts w:eastAsia="黑体"/>
                <w:color w:val="auto"/>
                <w:kern w:val="0"/>
                <w:sz w:val="24"/>
              </w:rPr>
            </w:pPr>
            <w:r>
              <w:rPr>
                <w:rFonts w:eastAsia="黑体"/>
                <w:color w:val="auto"/>
                <w:kern w:val="0"/>
                <w:sz w:val="24"/>
              </w:rPr>
              <w:t>一级指标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黑体"/>
                <w:color w:val="auto"/>
                <w:kern w:val="0"/>
                <w:sz w:val="24"/>
              </w:rPr>
            </w:pPr>
            <w:r>
              <w:rPr>
                <w:rFonts w:eastAsia="黑体"/>
                <w:color w:val="auto"/>
                <w:kern w:val="0"/>
                <w:sz w:val="24"/>
              </w:rPr>
              <w:t>序号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黑体"/>
                <w:color w:val="auto"/>
                <w:kern w:val="0"/>
                <w:sz w:val="24"/>
              </w:rPr>
            </w:pPr>
            <w:r>
              <w:rPr>
                <w:rFonts w:eastAsia="黑体"/>
                <w:color w:val="auto"/>
                <w:kern w:val="0"/>
                <w:sz w:val="24"/>
              </w:rPr>
              <w:t>分值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widowControl/>
              <w:jc w:val="center"/>
              <w:rPr>
                <w:rFonts w:eastAsia="黑体"/>
                <w:color w:val="auto"/>
                <w:kern w:val="0"/>
                <w:sz w:val="24"/>
              </w:rPr>
            </w:pPr>
            <w:r>
              <w:rPr>
                <w:rFonts w:eastAsia="黑体"/>
                <w:color w:val="auto"/>
                <w:kern w:val="0"/>
                <w:sz w:val="24"/>
              </w:rPr>
              <w:t>二级指标名称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widowControl/>
              <w:jc w:val="center"/>
              <w:rPr>
                <w:rFonts w:eastAsia="黑体"/>
                <w:color w:val="auto"/>
                <w:kern w:val="0"/>
                <w:sz w:val="24"/>
              </w:rPr>
            </w:pPr>
            <w:r>
              <w:rPr>
                <w:rFonts w:eastAsia="黑体"/>
                <w:color w:val="auto"/>
                <w:kern w:val="0"/>
                <w:sz w:val="24"/>
              </w:rPr>
              <w:t>数据采集单位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widowControl/>
              <w:jc w:val="center"/>
              <w:rPr>
                <w:rFonts w:eastAsia="黑体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黑体" w:cs="Times New Roman"/>
                <w:b w:val="0"/>
                <w:bCs w:val="0"/>
                <w:color w:val="auto"/>
                <w:kern w:val="0"/>
                <w:sz w:val="24"/>
                <w:highlight w:val="none"/>
                <w:lang w:val="en-US" w:eastAsia="zh-CN"/>
              </w:rPr>
              <w:t>责任科室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widowControl/>
              <w:jc w:val="center"/>
              <w:rPr>
                <w:rFonts w:eastAsia="黑体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黑体" w:cs="Times New Roman"/>
                <w:b w:val="0"/>
                <w:bCs w:val="0"/>
                <w:color w:val="auto"/>
                <w:kern w:val="0"/>
                <w:sz w:val="24"/>
                <w:highlight w:val="none"/>
                <w:lang w:val="en-US" w:eastAsia="zh-CN"/>
              </w:rPr>
              <w:t>责任人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810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ind w:left="113" w:right="113"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黑体"/>
                <w:color w:val="auto"/>
                <w:kern w:val="0"/>
                <w:sz w:val="24"/>
              </w:rPr>
              <w:t>差异化指标(</w:t>
            </w:r>
            <w:r>
              <w:rPr>
                <w:rFonts w:hint="eastAsia" w:eastAsia="黑体"/>
                <w:color w:val="auto"/>
                <w:kern w:val="0"/>
                <w:sz w:val="24"/>
              </w:rPr>
              <w:t>420</w:t>
            </w:r>
            <w:r>
              <w:rPr>
                <w:rFonts w:eastAsia="黑体"/>
                <w:color w:val="auto"/>
                <w:kern w:val="0"/>
                <w:sz w:val="24"/>
              </w:rPr>
              <w:t>分)</w:t>
            </w:r>
          </w:p>
        </w:tc>
        <w:tc>
          <w:tcPr>
            <w:tcW w:w="17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eastAsia="仿宋_GB2312"/>
                <w:bCs/>
                <w:color w:val="auto"/>
                <w:sz w:val="24"/>
              </w:rPr>
              <w:t>2020</w:t>
            </w:r>
            <w:r>
              <w:rPr>
                <w:rFonts w:eastAsia="仿宋_GB2312"/>
                <w:bCs/>
                <w:color w:val="auto"/>
                <w:sz w:val="24"/>
              </w:rPr>
              <w:t>年区委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工作任务分解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1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30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80" w:lineRule="exact"/>
              <w:textAlignment w:val="auto"/>
              <w:rPr>
                <w:rFonts w:eastAsia="仿宋_GB2312"/>
                <w:b/>
                <w:bCs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根据厦翔委〔</w:t>
            </w:r>
            <w:r>
              <w:rPr>
                <w:rFonts w:hint="eastAsia" w:eastAsia="仿宋_GB2312"/>
                <w:bCs/>
                <w:color w:val="auto"/>
                <w:sz w:val="24"/>
              </w:rPr>
              <w:t>2020</w:t>
            </w:r>
            <w:r>
              <w:rPr>
                <w:rFonts w:eastAsia="仿宋_GB2312"/>
                <w:bCs/>
                <w:color w:val="auto"/>
                <w:sz w:val="24"/>
              </w:rPr>
              <w:t>〕</w:t>
            </w:r>
            <w:r>
              <w:rPr>
                <w:rFonts w:hint="eastAsia" w:eastAsia="仿宋_GB2312"/>
                <w:bCs/>
                <w:color w:val="auto"/>
                <w:sz w:val="24"/>
              </w:rPr>
              <w:t>8</w:t>
            </w:r>
            <w:r>
              <w:rPr>
                <w:rFonts w:eastAsia="仿宋_GB2312"/>
                <w:bCs/>
                <w:color w:val="auto"/>
                <w:sz w:val="24"/>
              </w:rPr>
              <w:t>号文件</w:t>
            </w:r>
            <w:r>
              <w:rPr>
                <w:rFonts w:hint="eastAsia" w:eastAsia="仿宋_GB2312"/>
                <w:bCs/>
                <w:color w:val="auto"/>
                <w:sz w:val="24"/>
              </w:rPr>
              <w:t>及区委工作要点任务分解</w:t>
            </w:r>
            <w:r>
              <w:rPr>
                <w:rFonts w:eastAsia="仿宋_GB2312"/>
                <w:bCs/>
                <w:color w:val="auto"/>
                <w:sz w:val="24"/>
              </w:rPr>
              <w:t>进行</w:t>
            </w:r>
            <w:r>
              <w:rPr>
                <w:rFonts w:hint="eastAsia" w:eastAsia="仿宋_GB2312"/>
                <w:bCs/>
                <w:color w:val="auto"/>
                <w:sz w:val="24"/>
              </w:rPr>
              <w:t>评估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kern w:val="0"/>
                <w:sz w:val="24"/>
              </w:rPr>
              <w:t>区委办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bCs/>
                <w:color w:val="auto"/>
                <w:sz w:val="24"/>
              </w:rPr>
              <w:t>2020</w:t>
            </w:r>
            <w:r>
              <w:rPr>
                <w:rFonts w:eastAsia="仿宋_GB2312"/>
                <w:bCs/>
                <w:color w:val="auto"/>
                <w:sz w:val="24"/>
              </w:rPr>
              <w:t>年区政府工作任务分解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30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80" w:lineRule="exact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sz w:val="24"/>
              </w:rPr>
              <w:t>根据厦翔政办〔</w:t>
            </w:r>
            <w:r>
              <w:rPr>
                <w:rFonts w:hint="eastAsia" w:eastAsia="仿宋_GB2312"/>
                <w:color w:val="auto"/>
                <w:sz w:val="24"/>
              </w:rPr>
              <w:t>2020</w:t>
            </w:r>
            <w:r>
              <w:rPr>
                <w:rFonts w:eastAsia="仿宋_GB2312"/>
                <w:color w:val="auto"/>
                <w:sz w:val="24"/>
              </w:rPr>
              <w:t>〕</w:t>
            </w:r>
            <w:r>
              <w:rPr>
                <w:rFonts w:hint="eastAsia" w:eastAsia="仿宋_GB2312"/>
                <w:color w:val="auto"/>
                <w:sz w:val="24"/>
              </w:rPr>
              <w:t>1</w:t>
            </w:r>
            <w:r>
              <w:rPr>
                <w:rFonts w:eastAsia="仿宋_GB2312"/>
                <w:color w:val="auto"/>
                <w:sz w:val="24"/>
              </w:rPr>
              <w:t>号文件中各单位具体任务分工进行</w:t>
            </w:r>
            <w:r>
              <w:rPr>
                <w:rFonts w:hint="eastAsia" w:eastAsia="仿宋_GB2312"/>
                <w:color w:val="auto"/>
                <w:sz w:val="24"/>
              </w:rPr>
              <w:t>评估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kern w:val="0"/>
                <w:sz w:val="24"/>
              </w:rPr>
              <w:t>区政府办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restart"/>
            <w:noWrap w:val="0"/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3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30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80" w:lineRule="exact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2020</w:t>
            </w:r>
            <w:r>
              <w:rPr>
                <w:rFonts w:eastAsia="仿宋_GB2312"/>
                <w:color w:val="auto"/>
                <w:kern w:val="0"/>
                <w:sz w:val="24"/>
              </w:rPr>
              <w:t>年区委常委会会议议定事项跟踪落实情况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kern w:val="0"/>
                <w:sz w:val="24"/>
              </w:rPr>
              <w:t>区委办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color w:val="auto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4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30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2020</w:t>
            </w:r>
            <w:r>
              <w:rPr>
                <w:rFonts w:eastAsia="仿宋_GB2312"/>
                <w:color w:val="auto"/>
                <w:kern w:val="0"/>
                <w:sz w:val="24"/>
              </w:rPr>
              <w:t>年区政府常务会会议议定事项跟踪落实情况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kern w:val="0"/>
                <w:sz w:val="24"/>
              </w:rPr>
              <w:t>区政府办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5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30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240" w:lineRule="exact"/>
              <w:jc w:val="left"/>
              <w:rPr>
                <w:rFonts w:eastAsia="仿宋_GB2312"/>
                <w:color w:val="auto"/>
                <w:sz w:val="24"/>
              </w:rPr>
            </w:pPr>
            <w:r>
              <w:rPr>
                <w:rFonts w:eastAsia="仿宋_GB2312"/>
                <w:color w:val="auto"/>
                <w:sz w:val="24"/>
              </w:rPr>
              <w:t>改革创新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kern w:val="0"/>
                <w:sz w:val="24"/>
              </w:rPr>
              <w:t>区委办（区委改革办）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6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30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sz w:val="24"/>
              </w:rPr>
              <w:t>市对区绩效指标得分情况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区效能督查办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旅游中心、执法大队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许文跃、许福清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7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30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sz w:val="24"/>
              </w:rPr>
              <w:t>重大项目领导小组</w:t>
            </w:r>
            <w:r>
              <w:rPr>
                <w:rFonts w:hint="eastAsia" w:eastAsia="仿宋_GB2312"/>
                <w:color w:val="auto"/>
                <w:sz w:val="24"/>
              </w:rPr>
              <w:t>、重大办</w:t>
            </w:r>
            <w:r>
              <w:rPr>
                <w:rFonts w:eastAsia="仿宋_GB2312"/>
                <w:color w:val="auto"/>
                <w:sz w:val="24"/>
              </w:rPr>
              <w:t>会议议定事项的办结情况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kern w:val="0"/>
                <w:sz w:val="24"/>
              </w:rPr>
              <w:t>区重大办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8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40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sz w:val="24"/>
              </w:rPr>
              <w:t>2020</w:t>
            </w:r>
            <w:r>
              <w:rPr>
                <w:rFonts w:eastAsia="仿宋_GB2312"/>
                <w:color w:val="auto"/>
                <w:sz w:val="24"/>
              </w:rPr>
              <w:t>年度主要经济指标</w:t>
            </w:r>
            <w:r>
              <w:rPr>
                <w:rFonts w:hint="eastAsia" w:eastAsia="仿宋_GB2312"/>
                <w:color w:val="auto"/>
                <w:sz w:val="24"/>
              </w:rPr>
              <w:t>评估</w:t>
            </w:r>
            <w:r>
              <w:rPr>
                <w:rFonts w:eastAsia="仿宋_GB2312"/>
                <w:color w:val="auto"/>
                <w:sz w:val="24"/>
              </w:rPr>
              <w:t>情况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kern w:val="0"/>
                <w:sz w:val="24"/>
              </w:rPr>
              <w:t>区重大办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9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30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eastAsia="仿宋_GB2312"/>
                <w:color w:val="auto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“五个一批”工作开展情况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kern w:val="0"/>
                <w:sz w:val="24"/>
              </w:rPr>
              <w:t>区发改局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10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240" w:lineRule="exact"/>
              <w:jc w:val="left"/>
              <w:rPr>
                <w:rFonts w:eastAsia="仿宋_GB2312"/>
                <w:color w:val="auto"/>
                <w:sz w:val="24"/>
              </w:rPr>
            </w:pPr>
            <w:r>
              <w:rPr>
                <w:rFonts w:hint="eastAsia" w:eastAsia="仿宋_GB2312"/>
                <w:bCs/>
                <w:color w:val="auto"/>
                <w:sz w:val="24"/>
              </w:rPr>
              <w:t>2020</w:t>
            </w:r>
            <w:r>
              <w:rPr>
                <w:rFonts w:eastAsia="仿宋_GB2312"/>
                <w:bCs/>
                <w:color w:val="auto"/>
                <w:sz w:val="24"/>
              </w:rPr>
              <w:t>年人才工作完成情况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kern w:val="0"/>
                <w:sz w:val="24"/>
              </w:rPr>
              <w:t>区委组织部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10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ind w:left="113" w:right="113"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黑体"/>
                <w:color w:val="auto"/>
                <w:kern w:val="0"/>
                <w:sz w:val="24"/>
              </w:rPr>
              <w:t>差异化指标(</w:t>
            </w:r>
            <w:r>
              <w:rPr>
                <w:rFonts w:hint="eastAsia" w:eastAsia="黑体"/>
                <w:color w:val="auto"/>
                <w:kern w:val="0"/>
                <w:sz w:val="24"/>
              </w:rPr>
              <w:t>420</w:t>
            </w:r>
            <w:r>
              <w:rPr>
                <w:rFonts w:eastAsia="黑体"/>
                <w:color w:val="auto"/>
                <w:kern w:val="0"/>
                <w:sz w:val="24"/>
              </w:rPr>
              <w:t>分)</w:t>
            </w: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11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40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eastAsia="仿宋_GB2312"/>
                <w:color w:val="auto"/>
                <w:sz w:val="24"/>
              </w:rPr>
            </w:pPr>
            <w:r>
              <w:rPr>
                <w:rFonts w:eastAsia="仿宋_GB2312"/>
                <w:color w:val="auto"/>
                <w:sz w:val="24"/>
              </w:rPr>
              <w:t>招商引资工作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区商务局（区招商办）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12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eastAsia="仿宋_GB2312"/>
                <w:color w:val="auto"/>
                <w:sz w:val="24"/>
              </w:rPr>
            </w:pPr>
            <w:r>
              <w:rPr>
                <w:rFonts w:eastAsia="仿宋_GB2312"/>
                <w:color w:val="auto"/>
                <w:sz w:val="24"/>
              </w:rPr>
              <w:t>依法落实安全监管职责情况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区应急局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2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13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40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eastAsia="仿宋_GB2312"/>
                <w:color w:val="auto"/>
                <w:sz w:val="24"/>
              </w:rPr>
            </w:pPr>
            <w:r>
              <w:rPr>
                <w:rFonts w:eastAsia="仿宋_GB2312"/>
                <w:color w:val="auto"/>
                <w:sz w:val="24"/>
              </w:rPr>
              <w:t>生态环境保护工作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区发改局（区生态文明办）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区生态环境局（区环委办）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14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eastAsia="仿宋_GB2312"/>
                <w:color w:val="auto"/>
                <w:sz w:val="24"/>
              </w:rPr>
            </w:pPr>
            <w:r>
              <w:rPr>
                <w:rFonts w:hint="eastAsia" w:eastAsia="仿宋_GB2312"/>
                <w:b/>
                <w:bCs/>
                <w:color w:val="auto"/>
                <w:sz w:val="24"/>
              </w:rPr>
              <w:t>保障农民工工资支付工作成效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区人社局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10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ind w:left="113" w:right="113"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黑体"/>
                <w:color w:val="auto"/>
                <w:kern w:val="0"/>
                <w:sz w:val="24"/>
              </w:rPr>
              <w:t>共同性指标（</w:t>
            </w:r>
            <w:r>
              <w:rPr>
                <w:rFonts w:hint="eastAsia" w:eastAsia="黑体"/>
                <w:color w:val="auto"/>
                <w:kern w:val="0"/>
                <w:sz w:val="24"/>
              </w:rPr>
              <w:t>580</w:t>
            </w:r>
            <w:r>
              <w:rPr>
                <w:rFonts w:eastAsia="黑体"/>
                <w:color w:val="auto"/>
                <w:kern w:val="0"/>
                <w:sz w:val="24"/>
              </w:rPr>
              <w:t>分）</w:t>
            </w:r>
          </w:p>
        </w:tc>
        <w:tc>
          <w:tcPr>
            <w:tcW w:w="1761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科学</w:t>
            </w:r>
          </w:p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（</w:t>
            </w:r>
            <w:r>
              <w:rPr>
                <w:rFonts w:hint="eastAsia" w:eastAsia="仿宋_GB2312"/>
                <w:color w:val="auto"/>
                <w:kern w:val="0"/>
                <w:sz w:val="24"/>
              </w:rPr>
              <w:t>140</w:t>
            </w:r>
            <w:r>
              <w:rPr>
                <w:rFonts w:eastAsia="仿宋_GB2312"/>
                <w:color w:val="auto"/>
                <w:kern w:val="0"/>
                <w:sz w:val="24"/>
              </w:rPr>
              <w:t>分）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15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color w:val="auto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党内法规</w:t>
            </w:r>
            <w:r>
              <w:rPr>
                <w:rFonts w:hint="eastAsia" w:eastAsia="仿宋_GB2312"/>
                <w:bCs/>
                <w:color w:val="auto"/>
                <w:sz w:val="24"/>
              </w:rPr>
              <w:t>制度</w:t>
            </w:r>
            <w:r>
              <w:rPr>
                <w:rFonts w:eastAsia="仿宋_GB2312"/>
                <w:bCs/>
                <w:color w:val="auto"/>
                <w:sz w:val="24"/>
              </w:rPr>
              <w:t>建设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区委办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16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color w:val="auto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行政事业单位预算管理（含“三公经费”</w:t>
            </w:r>
            <w:r>
              <w:rPr>
                <w:rFonts w:hint="eastAsia" w:eastAsia="仿宋_GB2312"/>
                <w:bCs/>
                <w:color w:val="auto"/>
                <w:sz w:val="24"/>
              </w:rPr>
              <w:t>及绩效管理</w:t>
            </w:r>
            <w:r>
              <w:rPr>
                <w:rFonts w:eastAsia="仿宋_GB2312"/>
                <w:bCs/>
                <w:color w:val="auto"/>
                <w:sz w:val="24"/>
              </w:rPr>
              <w:t>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kern w:val="0"/>
                <w:sz w:val="24"/>
              </w:rPr>
              <w:t>区财政局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17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b/>
                <w:bCs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文明工作</w:t>
            </w:r>
            <w:r>
              <w:rPr>
                <w:rFonts w:hint="eastAsia" w:eastAsia="仿宋_GB2312"/>
                <w:bCs/>
                <w:color w:val="auto"/>
                <w:sz w:val="24"/>
              </w:rPr>
              <w:t>评估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区委宣传部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18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b/>
                <w:bCs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落实意识形态工作责任制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区委宣传部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19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人大代表建议办理情况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区人大办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政协委员提案办理情况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区政协办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21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社会信用体系建设（含失信被执行人惩戒联动工作）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区发改局、区法院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10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ind w:left="113" w:right="113"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黑体"/>
                <w:color w:val="auto"/>
                <w:kern w:val="0"/>
                <w:sz w:val="24"/>
              </w:rPr>
              <w:t>共同性指标（</w:t>
            </w:r>
            <w:r>
              <w:rPr>
                <w:rFonts w:hint="eastAsia" w:eastAsia="黑体"/>
                <w:color w:val="auto"/>
                <w:kern w:val="0"/>
                <w:sz w:val="24"/>
              </w:rPr>
              <w:t>580</w:t>
            </w:r>
            <w:r>
              <w:rPr>
                <w:rFonts w:eastAsia="黑体"/>
                <w:color w:val="auto"/>
                <w:kern w:val="0"/>
                <w:sz w:val="24"/>
              </w:rPr>
              <w:t>分）</w:t>
            </w:r>
          </w:p>
        </w:tc>
        <w:tc>
          <w:tcPr>
            <w:tcW w:w="1761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依法</w:t>
            </w:r>
          </w:p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（</w:t>
            </w:r>
            <w:r>
              <w:rPr>
                <w:rFonts w:hint="eastAsia" w:eastAsia="仿宋_GB2312"/>
                <w:color w:val="auto"/>
                <w:kern w:val="0"/>
                <w:sz w:val="24"/>
              </w:rPr>
              <w:t>110</w:t>
            </w:r>
            <w:r>
              <w:rPr>
                <w:rFonts w:eastAsia="仿宋_GB2312"/>
                <w:color w:val="auto"/>
                <w:kern w:val="0"/>
                <w:sz w:val="24"/>
              </w:rPr>
              <w:t>分）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22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30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依法行政成效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区司法局（</w:t>
            </w:r>
            <w:r>
              <w:rPr>
                <w:rFonts w:hint="eastAsia" w:eastAsia="仿宋_GB2312"/>
                <w:bCs/>
                <w:color w:val="auto"/>
                <w:sz w:val="24"/>
              </w:rPr>
              <w:t>委依法治区办</w:t>
            </w:r>
            <w:r>
              <w:rPr>
                <w:rFonts w:eastAsia="仿宋_GB2312"/>
                <w:bCs/>
                <w:color w:val="auto"/>
                <w:sz w:val="24"/>
              </w:rPr>
              <w:t>）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区法院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bCs/>
                <w:color w:val="auto"/>
                <w:sz w:val="24"/>
                <w:lang w:eastAsia="zh-CN"/>
              </w:rPr>
            </w:pPr>
            <w:r>
              <w:rPr>
                <w:rFonts w:hint="eastAsia" w:eastAsia="仿宋_GB2312"/>
                <w:bCs/>
                <w:color w:val="auto"/>
                <w:sz w:val="24"/>
                <w:lang w:eastAsia="zh-CN"/>
              </w:rPr>
              <w:t>局办、执法大队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bCs/>
                <w:color w:val="auto"/>
                <w:sz w:val="24"/>
                <w:lang w:eastAsia="zh-CN"/>
              </w:rPr>
            </w:pPr>
            <w:r>
              <w:rPr>
                <w:rFonts w:hint="eastAsia" w:eastAsia="仿宋_GB2312"/>
                <w:bCs/>
                <w:color w:val="auto"/>
                <w:sz w:val="24"/>
                <w:lang w:eastAsia="zh-CN"/>
              </w:rPr>
              <w:t>黄双明、陈晓鹭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23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政府信息公开、电子政务、政务公开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区政府办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24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b/>
                <w:bCs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公共安全管理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kern w:val="0"/>
                <w:sz w:val="24"/>
              </w:rPr>
              <w:t>区公共安全办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25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b/>
                <w:bCs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行政协助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kern w:val="0"/>
                <w:sz w:val="24"/>
              </w:rPr>
              <w:t>区委编办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26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信访事项依法化解率、12345便民平台建设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区信访局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高效</w:t>
            </w:r>
          </w:p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(</w:t>
            </w:r>
            <w:r>
              <w:rPr>
                <w:rFonts w:hint="eastAsia" w:eastAsia="仿宋_GB2312"/>
                <w:color w:val="auto"/>
                <w:kern w:val="0"/>
                <w:sz w:val="24"/>
              </w:rPr>
              <w:t>270</w:t>
            </w:r>
            <w:r>
              <w:rPr>
                <w:rFonts w:eastAsia="仿宋_GB2312"/>
                <w:color w:val="auto"/>
                <w:kern w:val="0"/>
                <w:sz w:val="24"/>
              </w:rPr>
              <w:t>分)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27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30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b/>
                <w:bCs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区委督办件、交办件办理情况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区委办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28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信息报送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区委办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29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区委文字综合工作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区委办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30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档案工作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eastAsia="仿宋_GB2312"/>
                <w:bCs/>
                <w:color w:val="auto"/>
                <w:sz w:val="24"/>
              </w:rPr>
              <w:t>区委办（档案局）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31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保密工作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eastAsia="仿宋_GB2312"/>
                <w:bCs/>
                <w:color w:val="auto"/>
                <w:sz w:val="24"/>
              </w:rPr>
              <w:t>区委机要保密局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32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区政府督办件、交办件办理情况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区政府办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33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公文处理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eastAsia="仿宋_GB2312"/>
                <w:bCs/>
                <w:color w:val="auto"/>
                <w:sz w:val="24"/>
              </w:rPr>
              <w:t>区委办、</w:t>
            </w:r>
            <w:r>
              <w:rPr>
                <w:rFonts w:eastAsia="仿宋_GB2312"/>
                <w:bCs/>
                <w:color w:val="auto"/>
                <w:sz w:val="24"/>
              </w:rPr>
              <w:t>区政府办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34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30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color w:val="auto"/>
                <w:sz w:val="24"/>
              </w:rPr>
            </w:pPr>
            <w:r>
              <w:rPr>
                <w:rFonts w:hint="eastAsia" w:eastAsia="仿宋_GB2312"/>
                <w:color w:val="auto"/>
                <w:sz w:val="24"/>
              </w:rPr>
              <w:t>行政服务质量（含政务服务“好差评”工作）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区审批局、区</w:t>
            </w:r>
            <w:r>
              <w:rPr>
                <w:rFonts w:hint="eastAsia" w:eastAsia="仿宋_GB2312"/>
                <w:bCs/>
                <w:color w:val="auto"/>
                <w:sz w:val="24"/>
              </w:rPr>
              <w:t>工</w:t>
            </w:r>
            <w:r>
              <w:rPr>
                <w:rFonts w:eastAsia="仿宋_GB2312"/>
                <w:bCs/>
                <w:color w:val="auto"/>
                <w:sz w:val="24"/>
              </w:rPr>
              <w:t>信局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810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ind w:left="113" w:right="113"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黑体"/>
                <w:color w:val="auto"/>
                <w:kern w:val="0"/>
                <w:sz w:val="24"/>
              </w:rPr>
              <w:t>共同性指标（</w:t>
            </w:r>
            <w:r>
              <w:rPr>
                <w:rFonts w:hint="eastAsia" w:eastAsia="黑体"/>
                <w:color w:val="auto"/>
                <w:kern w:val="0"/>
                <w:sz w:val="24"/>
              </w:rPr>
              <w:t>580</w:t>
            </w:r>
            <w:r>
              <w:rPr>
                <w:rFonts w:eastAsia="黑体"/>
                <w:color w:val="auto"/>
                <w:kern w:val="0"/>
                <w:sz w:val="24"/>
              </w:rPr>
              <w:t>分）</w:t>
            </w:r>
          </w:p>
        </w:tc>
        <w:tc>
          <w:tcPr>
            <w:tcW w:w="1761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高效</w:t>
            </w:r>
          </w:p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(</w:t>
            </w:r>
            <w:r>
              <w:rPr>
                <w:rFonts w:hint="eastAsia" w:eastAsia="仿宋_GB2312"/>
                <w:color w:val="auto"/>
                <w:kern w:val="0"/>
                <w:sz w:val="24"/>
              </w:rPr>
              <w:t>270</w:t>
            </w:r>
            <w:r>
              <w:rPr>
                <w:rFonts w:eastAsia="仿宋_GB2312"/>
                <w:color w:val="auto"/>
                <w:kern w:val="0"/>
                <w:sz w:val="24"/>
              </w:rPr>
              <w:t>分)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35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30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color w:val="auto"/>
                <w:sz w:val="24"/>
              </w:rPr>
            </w:pPr>
            <w:r>
              <w:rPr>
                <w:rFonts w:hint="eastAsia" w:eastAsia="仿宋_GB2312"/>
                <w:color w:val="auto"/>
                <w:sz w:val="24"/>
              </w:rPr>
              <w:t>营商环境指数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区发改局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36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sz w:val="24"/>
              </w:rPr>
              <w:t>机关效能建设成效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sz w:val="24"/>
              </w:rPr>
              <w:t>区效能督查办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37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建设节约型机关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区机关事务管理局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38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pacing w:val="-6"/>
                <w:sz w:val="24"/>
              </w:rPr>
              <w:t>区直部门挂钩镇街征地拆迁工作成效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bCs/>
                <w:color w:val="auto"/>
                <w:sz w:val="24"/>
              </w:rPr>
              <w:t>区重大办</w:t>
            </w: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eastAsia="仿宋_GB2312"/>
                <w:bCs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廉洁</w:t>
            </w:r>
          </w:p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（60分）</w:t>
            </w: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39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b/>
                <w:bCs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sz w:val="24"/>
              </w:rPr>
              <w:t>落实全面从严治党主体责任</w:t>
            </w:r>
          </w:p>
        </w:tc>
        <w:tc>
          <w:tcPr>
            <w:tcW w:w="1612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color w:val="auto"/>
                <w:kern w:val="0"/>
                <w:sz w:val="24"/>
              </w:rPr>
            </w:pPr>
            <w:r>
              <w:rPr>
                <w:rFonts w:eastAsia="仿宋_GB2312"/>
                <w:bCs/>
                <w:color w:val="auto"/>
                <w:kern w:val="0"/>
                <w:sz w:val="24"/>
              </w:rPr>
              <w:t>区纪委监委</w:t>
            </w:r>
          </w:p>
          <w:p>
            <w:pPr>
              <w:spacing w:line="240" w:lineRule="exact"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40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sz w:val="24"/>
              </w:rPr>
              <w:t>严守党的纪律</w:t>
            </w:r>
          </w:p>
        </w:tc>
        <w:tc>
          <w:tcPr>
            <w:tcW w:w="1612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810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1761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750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eastAsia="仿宋_GB2312"/>
                <w:color w:val="auto"/>
                <w:kern w:val="0"/>
                <w:sz w:val="24"/>
              </w:rPr>
              <w:t>41</w:t>
            </w:r>
          </w:p>
        </w:tc>
        <w:tc>
          <w:tcPr>
            <w:tcW w:w="694" w:type="dxa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kern w:val="0"/>
                <w:sz w:val="24"/>
              </w:rPr>
              <w:t>20</w:t>
            </w:r>
          </w:p>
        </w:tc>
        <w:tc>
          <w:tcPr>
            <w:tcW w:w="4350" w:type="dxa"/>
            <w:noWrap w:val="0"/>
            <w:vAlign w:val="center"/>
          </w:tcPr>
          <w:p>
            <w:pPr>
              <w:spacing w:line="340" w:lineRule="exact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eastAsia="仿宋_GB2312"/>
                <w:color w:val="auto"/>
                <w:sz w:val="24"/>
              </w:rPr>
              <w:t>落实中央八项规定精神，持之以恒纠正“四风”</w:t>
            </w:r>
          </w:p>
        </w:tc>
        <w:tc>
          <w:tcPr>
            <w:tcW w:w="1612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eastAsia="仿宋_GB2312"/>
                <w:color w:val="auto"/>
                <w:kern w:val="0"/>
                <w:sz w:val="24"/>
              </w:rPr>
            </w:pPr>
          </w:p>
        </w:tc>
        <w:tc>
          <w:tcPr>
            <w:tcW w:w="21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局办、局属各单位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eastAsia="仿宋_GB2312"/>
                <w:color w:val="auto"/>
                <w:kern w:val="0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黄双明、局属各单位负责人</w:t>
            </w:r>
          </w:p>
        </w:tc>
      </w:tr>
    </w:tbl>
    <w:p>
      <w:pPr>
        <w:pStyle w:val="2"/>
        <w:spacing w:before="0" w:beforeAutospacing="0" w:after="0" w:afterAutospacing="0" w:line="400" w:lineRule="exact"/>
        <w:jc w:val="both"/>
        <w:rPr>
          <w:rFonts w:ascii="Times New Roman" w:hAnsi="Times New Roman" w:eastAsia="黑体" w:cs="Times New Roman"/>
          <w:color w:val="auto"/>
          <w:sz w:val="28"/>
          <w:szCs w:val="28"/>
        </w:rPr>
      </w:pPr>
    </w:p>
    <w:p>
      <w:pPr>
        <w:pStyle w:val="2"/>
        <w:spacing w:before="0" w:beforeAutospacing="0" w:after="0" w:afterAutospacing="0" w:line="400" w:lineRule="exact"/>
        <w:jc w:val="both"/>
        <w:rPr>
          <w:rFonts w:ascii="Times New Roman" w:hAnsi="Times New Roman" w:eastAsia="黑体" w:cs="Times New Roman"/>
          <w:color w:val="auto"/>
          <w:sz w:val="28"/>
          <w:szCs w:val="28"/>
        </w:rPr>
      </w:pPr>
    </w:p>
    <w:p>
      <w:pPr>
        <w:pStyle w:val="2"/>
        <w:spacing w:before="0" w:beforeAutospacing="0" w:after="0" w:afterAutospacing="0" w:line="400" w:lineRule="exact"/>
        <w:jc w:val="both"/>
        <w:rPr>
          <w:rFonts w:ascii="Times New Roman" w:hAnsi="Times New Roman" w:eastAsia="黑体" w:cs="Times New Roman"/>
          <w:color w:val="auto"/>
          <w:sz w:val="28"/>
          <w:szCs w:val="28"/>
        </w:rPr>
      </w:pPr>
    </w:p>
    <w:p>
      <w:pPr>
        <w:pStyle w:val="2"/>
        <w:spacing w:before="0" w:beforeAutospacing="0" w:after="0" w:afterAutospacing="0" w:line="400" w:lineRule="exact"/>
        <w:jc w:val="both"/>
        <w:rPr>
          <w:rFonts w:ascii="Times New Roman" w:hAnsi="Times New Roman" w:eastAsia="黑体" w:cs="Times New Roman"/>
          <w:color w:val="auto"/>
          <w:sz w:val="28"/>
          <w:szCs w:val="28"/>
        </w:rPr>
      </w:pPr>
    </w:p>
    <w:p>
      <w:pPr>
        <w:pStyle w:val="2"/>
        <w:spacing w:before="0" w:beforeAutospacing="0" w:after="0" w:afterAutospacing="0" w:line="400" w:lineRule="exact"/>
        <w:jc w:val="both"/>
        <w:rPr>
          <w:rFonts w:ascii="Times New Roman" w:hAnsi="Times New Roman" w:eastAsia="黑体" w:cs="Times New Roman"/>
          <w:color w:val="auto"/>
          <w:sz w:val="28"/>
          <w:szCs w:val="28"/>
        </w:rPr>
      </w:pPr>
    </w:p>
    <w:p>
      <w:pPr>
        <w:pStyle w:val="2"/>
        <w:spacing w:before="0" w:beforeAutospacing="0" w:after="0" w:afterAutospacing="0" w:line="400" w:lineRule="exact"/>
        <w:jc w:val="both"/>
        <w:rPr>
          <w:rFonts w:ascii="Times New Roman" w:hAnsi="Times New Roman" w:eastAsia="黑体" w:cs="Times New Roman"/>
          <w:color w:val="auto"/>
          <w:sz w:val="28"/>
          <w:szCs w:val="28"/>
        </w:rPr>
      </w:pPr>
    </w:p>
    <w:p>
      <w:pPr>
        <w:pStyle w:val="2"/>
        <w:spacing w:before="0" w:beforeAutospacing="0" w:after="0" w:afterAutospacing="0" w:line="400" w:lineRule="exact"/>
        <w:jc w:val="both"/>
        <w:rPr>
          <w:rFonts w:ascii="Times New Roman" w:hAnsi="Times New Roman" w:eastAsia="黑体" w:cs="Times New Roman"/>
          <w:color w:val="auto"/>
          <w:sz w:val="28"/>
          <w:szCs w:val="28"/>
        </w:rPr>
      </w:pPr>
    </w:p>
    <w:p>
      <w:pPr>
        <w:pStyle w:val="2"/>
        <w:spacing w:before="0" w:beforeAutospacing="0" w:after="0" w:afterAutospacing="0" w:line="400" w:lineRule="exact"/>
        <w:jc w:val="both"/>
        <w:rPr>
          <w:rFonts w:ascii="Times New Roman" w:hAnsi="Times New Roman" w:eastAsia="黑体" w:cs="Times New Roman"/>
          <w:color w:val="auto"/>
          <w:sz w:val="28"/>
          <w:szCs w:val="28"/>
        </w:rPr>
      </w:pPr>
    </w:p>
    <w:p>
      <w:pPr>
        <w:pStyle w:val="2"/>
        <w:spacing w:before="0" w:beforeAutospacing="0" w:after="0" w:afterAutospacing="0" w:line="400" w:lineRule="exact"/>
        <w:jc w:val="both"/>
        <w:rPr>
          <w:rFonts w:ascii="Times New Roman" w:hAnsi="Times New Roman" w:eastAsia="黑体" w:cs="Times New Roman"/>
          <w:color w:val="auto"/>
          <w:sz w:val="28"/>
          <w:szCs w:val="28"/>
        </w:rPr>
      </w:pPr>
    </w:p>
    <w:p>
      <w:pPr>
        <w:pStyle w:val="2"/>
        <w:spacing w:before="0" w:beforeAutospacing="0" w:after="0" w:afterAutospacing="0" w:line="400" w:lineRule="exact"/>
        <w:jc w:val="both"/>
        <w:rPr>
          <w:rFonts w:ascii="Times New Roman" w:hAnsi="Times New Roman" w:eastAsia="黑体" w:cs="Times New Roman"/>
          <w:color w:val="auto"/>
          <w:sz w:val="28"/>
          <w:szCs w:val="28"/>
        </w:rPr>
      </w:pPr>
    </w:p>
    <w:p/>
    <w:sectPr>
      <w:pgSz w:w="16838" w:h="11906" w:orient="landscape"/>
      <w:pgMar w:top="1587" w:right="2098" w:bottom="1474" w:left="198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F569EE"/>
    <w:rsid w:val="619078D6"/>
    <w:rsid w:val="63F56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2020-07-29T08:12:00Z</dcterms:created>
  <dc:creator>Administrator</dc:creator>
  <cp:lastModifiedBy>Administrator</cp:lastModifiedBy>
  <dcterms:modified xsi:type="dcterms:W3CDTF">2020-07-29T08:12:59Z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