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left"/>
        <w:rPr>
          <w:rFonts w:hint="eastAsia" w:ascii="黑体" w:hAnsi="黑体" w:eastAsia="黑体" w:cs="黑体"/>
          <w:color w:val="auto"/>
          <w:kern w:val="0"/>
          <w:sz w:val="32"/>
          <w:szCs w:val="32"/>
          <w:lang w:eastAsia="zh-CN"/>
        </w:rPr>
      </w:pPr>
      <w:r>
        <w:rPr>
          <w:rFonts w:hint="eastAsia" w:ascii="黑体" w:hAnsi="黑体" w:eastAsia="黑体" w:cs="黑体"/>
          <w:color w:val="auto"/>
          <w:kern w:val="0"/>
          <w:sz w:val="32"/>
          <w:szCs w:val="32"/>
        </w:rPr>
        <w:t>附件</w:t>
      </w:r>
      <w:r>
        <w:rPr>
          <w:rFonts w:hint="eastAsia" w:ascii="黑体" w:hAnsi="黑体" w:eastAsia="黑体" w:cs="黑体"/>
          <w:color w:val="auto"/>
          <w:kern w:val="0"/>
          <w:sz w:val="32"/>
          <w:szCs w:val="32"/>
          <w:lang w:val="en-US" w:eastAsia="zh-CN"/>
        </w:rPr>
        <w:t>4</w:t>
      </w:r>
    </w:p>
    <w:p>
      <w:pPr>
        <w:spacing w:line="560" w:lineRule="exact"/>
        <w:jc w:val="center"/>
        <w:rPr>
          <w:rFonts w:hint="eastAsia" w:ascii="方正小标宋简体" w:hAnsi="方正小标宋简体" w:eastAsia="方正小标宋简体" w:cs="方正小标宋简体"/>
          <w:color w:val="auto"/>
          <w:sz w:val="36"/>
          <w:szCs w:val="36"/>
        </w:rPr>
      </w:pPr>
    </w:p>
    <w:p>
      <w:pPr>
        <w:spacing w:line="560" w:lineRule="exact"/>
        <w:jc w:val="center"/>
        <w:rPr>
          <w:rFonts w:hint="eastAsia" w:ascii="方正小标宋简体" w:hAnsi="方正小标宋简体" w:eastAsia="方正小标宋简体" w:cs="方正小标宋简体"/>
          <w:color w:val="auto"/>
          <w:sz w:val="36"/>
          <w:szCs w:val="36"/>
        </w:rPr>
      </w:pPr>
      <w:bookmarkStart w:id="0" w:name="_GoBack"/>
      <w:r>
        <w:rPr>
          <w:rFonts w:hint="eastAsia" w:ascii="方正小标宋简体" w:hAnsi="方正小标宋简体" w:eastAsia="方正小标宋简体" w:cs="方正小标宋简体"/>
          <w:color w:val="auto"/>
          <w:sz w:val="36"/>
          <w:szCs w:val="36"/>
        </w:rPr>
        <w:t>2020年度翔安区察访核验评分办法</w:t>
      </w:r>
    </w:p>
    <w:bookmarkEnd w:id="0"/>
    <w:p>
      <w:pPr>
        <w:spacing w:line="400" w:lineRule="exact"/>
        <w:ind w:firstLine="480" w:firstLineChars="200"/>
        <w:rPr>
          <w:rFonts w:hint="eastAsia" w:ascii="黑体" w:hAnsi="黑体" w:eastAsia="黑体" w:cs="黑体"/>
          <w:color w:val="auto"/>
          <w:sz w:val="24"/>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color w:val="auto"/>
          <w:sz w:val="32"/>
          <w:szCs w:val="32"/>
        </w:rPr>
      </w:pPr>
      <w:r>
        <w:rPr>
          <w:rFonts w:hint="eastAsia" w:ascii="黑体" w:hAnsi="黑体" w:eastAsia="黑体" w:cs="黑体"/>
          <w:color w:val="auto"/>
          <w:sz w:val="32"/>
          <w:szCs w:val="32"/>
        </w:rPr>
        <w:t>一、扣分情形</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1</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工作落实不力问题，如：工作任务落实不坚决、不认真、不及时；工作措施不得力，效率低下，任务未全面完成；职能职责履行不到位，工作机制不健全，工作效果差；存在问题处置不得当，解决不及时；政策制度不配套、不衔接、不落实；政策宣传不及时、不深入、不到位；对需要持续推进的事项不加强跟踪、需要上级协调的事项未及时报告等。每项扣2分。</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color w:val="auto"/>
          <w:sz w:val="32"/>
          <w:szCs w:val="32"/>
        </w:rPr>
      </w:pPr>
      <w:r>
        <w:rPr>
          <w:rFonts w:hint="eastAsia" w:ascii="楷体_GB2312" w:hAnsi="楷体_GB2312" w:eastAsia="楷体_GB2312" w:cs="楷体_GB2312"/>
          <w:b/>
          <w:bCs/>
          <w:color w:val="auto"/>
          <w:sz w:val="32"/>
          <w:szCs w:val="32"/>
        </w:rPr>
        <w:t>2</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工作作风不扎实问题，如：工作主动性不够，表态多调门高、行动少落实差；办事拖沓敷衍，懒政慵政怠政；情况反馈不及时、不真实、不准确；办理群众诉求过程中未主动联系、反馈投诉人，投诉件退回事由不合理等。每项扣2分。</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color w:val="auto"/>
          <w:sz w:val="32"/>
          <w:szCs w:val="32"/>
        </w:rPr>
      </w:pPr>
      <w:r>
        <w:rPr>
          <w:rFonts w:hint="eastAsia" w:ascii="楷体_GB2312" w:hAnsi="楷体_GB2312" w:eastAsia="楷体_GB2312" w:cs="楷体_GB2312"/>
          <w:b/>
          <w:bCs/>
          <w:color w:val="auto"/>
          <w:sz w:val="32"/>
          <w:szCs w:val="32"/>
        </w:rPr>
        <w:t>3</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效能制度不落实问题，如：没有建立健全并落实岗位责任、办事公开、服务承诺、首问负责、一次性告知、限时办结、否定报备、责任追究、社会评议等机关效能建设制度。每项扣2分。</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4</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服务质量差问题，如：未落实“马上办、一次办”要求，门好进、脸好看，但事难办，让群众办事跑多趟；便民服务热线不通或工作时间内长时间无人接听；工作作风粗暴、服务态度生硬、审批服务事项办理不好，给群众带来不便或造成不良影响；群众的合理诉求解决不到位，投诉人不满意等。每项扣2分。</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5</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工作纪律散漫问题，如：不遵守考勤制度、窗口工作制度等日常管理规定；上班时间从事与工作无关事情，无故脱岗、离岗；未落实同岗替代制，群众办事无人受理等。每项扣2分。</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color w:val="auto"/>
          <w:sz w:val="32"/>
          <w:szCs w:val="32"/>
        </w:rPr>
      </w:pPr>
      <w:r>
        <w:rPr>
          <w:rFonts w:hint="eastAsia" w:ascii="楷体_GB2312" w:hAnsi="楷体_GB2312" w:eastAsia="楷体_GB2312" w:cs="楷体_GB2312"/>
          <w:b/>
          <w:bCs/>
          <w:color w:val="auto"/>
          <w:sz w:val="32"/>
          <w:szCs w:val="32"/>
        </w:rPr>
        <w:t>6</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工作不规范问题，如：机关内部事项清单不完善，即办件、承诺件、限时件未实行分类管理、即时办结；未遵守行政审批制度和行政服务标准化建设等要求，办事服务不规范；未遵守上级部门或牵头部门的工作要求，反馈内容不规范、针对性不强、缺漏项等。每项扣2分。</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二、加重扣分情形</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1</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省市效能督查、调研、暗访等发现的问题，并在市对区年终绩效评估中扣分的；相关责任单位对存在的问题整改不到位、整改情况逾期报送的；省市督查机构转办、交办、督办事项，相关责任单位仍久拖不决的予以双倍扣分。</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2</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在机关效能建设方面存在问题，被媒体曝光，造成严重影响，经查属实的；隐匿、销毁、伪造证据，或者存在问题作出不实说明的；以阻扰、设障等各种方式干扰、妨碍、拒绝接受督查的。每次扣10分。</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三、减免扣分情形</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1</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法律法规和政策没有明确规定和限制，属于改革先行先试或探索性试验中出现的问题；</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2</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能够主动作为、认真履职，积极落实政策，但由于非主观方面的原因导致项目推进滞后的；</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3</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发生在往年的问题，不影响督查时当年度和以后相关工作的；</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4</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能及时整改存在的问题，整改效果好，不影响督查时当年度和以后相关工作的；</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5</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问题情形情节轻微、影响较小，或在绩效评估指标中已作相应扣分的；</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6</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非主观方面引发的问题，相关单位作出的解释说明合理合规的。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四、抵扣分情形</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1</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 xml:space="preserve">省市效能督查发现问题的责任单位依规对责任人员进行效能问责的，按该问题所扣分值的一半进行抵扣，未依规对责任人员进行效能问责的，该问题扣分不能抵扣； </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2</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各绩效管理对象自行开展效能督查发现问题，并对相关责任人员进行效能问责的，可以抵扣区效能督查发现问题所扣分值，一个自查问题抵扣1分。</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五、其他评分原则</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1</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区效能督查发现的问题责任单位为非绩效管理对象的，区效能督查办可将问题抄送其上级管理部门或行业主管单位。</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2</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各级各部门效能问责情况需在问责决定作出的次月报送区效能督查办，未按时报送的不予抵扣；市绩效考评扣分问题不能减免扣分或抵扣分。</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3</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同一问题情形适用两个扣分标准的就高不就低，同一问题不重复扣分。</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4</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同一问题情形同时符合减免扣分（加重扣分）情形和抵扣分情形的，进行减免、加重及抵扣的基础分值均按本办法第一点计算，单个问题最多减免、抵扣至零分。</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5</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同一类绩效管理对象被扣总分不超过50分（千分制）的，按实际扣分计算；如果扣分超过50分，扣分最高的单位分数为50分，并以此折算扣分系数，分别对同一类绩效管理对象的扣分进行折算。</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6</w:t>
      </w:r>
      <w:r>
        <w:rPr>
          <w:rFonts w:hint="eastAsia" w:ascii="楷体_GB2312" w:hAnsi="楷体_GB2312" w:eastAsia="楷体_GB2312" w:cs="楷体_GB2312"/>
          <w:b/>
          <w:bCs/>
          <w:color w:val="auto"/>
          <w:sz w:val="32"/>
          <w:szCs w:val="32"/>
          <w:lang w:eastAsia="zh-CN"/>
        </w:rPr>
        <w:t>、</w:t>
      </w:r>
      <w:r>
        <w:rPr>
          <w:rFonts w:hint="eastAsia" w:ascii="仿宋_GB2312" w:hAnsi="仿宋_GB2312" w:eastAsia="仿宋_GB2312" w:cs="仿宋_GB2312"/>
          <w:color w:val="auto"/>
          <w:sz w:val="32"/>
          <w:szCs w:val="32"/>
        </w:rPr>
        <w:t>党中央、国务院及中央和国家机关督查检查考核反馈通报的典型效能问题；省市党委和政府批准开展的督查检查考核中发现的典型效能问题，由区效能督查办视情况按本办法对问题责任单位进行扣分。</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Cs/>
          <w:color w:val="auto"/>
          <w:sz w:val="32"/>
          <w:szCs w:val="32"/>
        </w:rPr>
      </w:pPr>
    </w:p>
    <w:p>
      <w:pPr>
        <w:pStyle w:val="2"/>
        <w:keepNext w:val="0"/>
        <w:keepLines w:val="0"/>
        <w:pageBreakBefore w:val="0"/>
        <w:kinsoku/>
        <w:wordWrap/>
        <w:overflowPunct/>
        <w:topLinePunct w:val="0"/>
        <w:autoSpaceDE/>
        <w:autoSpaceDN/>
        <w:bidi w:val="0"/>
        <w:adjustRightInd/>
        <w:snapToGrid/>
        <w:spacing w:before="0" w:beforeLines="0" w:beforeAutospacing="0" w:after="0" w:afterLines="0" w:afterAutospacing="0" w:line="560" w:lineRule="exact"/>
        <w:jc w:val="both"/>
        <w:textAlignment w:val="auto"/>
        <w:rPr>
          <w:rFonts w:hint="eastAsia" w:ascii="仿宋_GB2312" w:hAnsi="仿宋_GB2312" w:eastAsia="仿宋_GB2312" w:cs="仿宋_GB2312"/>
          <w:color w:val="auto"/>
          <w:sz w:val="32"/>
          <w:szCs w:val="32"/>
        </w:rPr>
      </w:pPr>
    </w:p>
    <w:p>
      <w:pPr>
        <w:pStyle w:val="2"/>
        <w:keepNext w:val="0"/>
        <w:keepLines w:val="0"/>
        <w:pageBreakBefore w:val="0"/>
        <w:kinsoku/>
        <w:wordWrap/>
        <w:overflowPunct/>
        <w:topLinePunct w:val="0"/>
        <w:autoSpaceDE/>
        <w:autoSpaceDN/>
        <w:bidi w:val="0"/>
        <w:adjustRightInd/>
        <w:snapToGrid/>
        <w:spacing w:before="0" w:beforeLines="0" w:beforeAutospacing="0" w:after="0" w:afterLines="0" w:afterAutospacing="0" w:line="560" w:lineRule="exact"/>
        <w:jc w:val="both"/>
        <w:textAlignment w:val="auto"/>
        <w:rPr>
          <w:rFonts w:hint="eastAsia" w:ascii="仿宋_GB2312" w:hAnsi="仿宋_GB2312" w:eastAsia="仿宋_GB2312" w:cs="仿宋_GB2312"/>
          <w:color w:val="auto"/>
          <w:sz w:val="32"/>
          <w:szCs w:val="32"/>
        </w:rPr>
      </w:pPr>
    </w:p>
    <w:p>
      <w:pPr>
        <w:pStyle w:val="2"/>
        <w:keepNext w:val="0"/>
        <w:keepLines w:val="0"/>
        <w:pageBreakBefore w:val="0"/>
        <w:kinsoku/>
        <w:wordWrap/>
        <w:overflowPunct/>
        <w:topLinePunct w:val="0"/>
        <w:autoSpaceDE/>
        <w:autoSpaceDN/>
        <w:bidi w:val="0"/>
        <w:adjustRightInd/>
        <w:snapToGrid/>
        <w:spacing w:before="0" w:beforeLines="0" w:beforeAutospacing="0" w:after="0" w:afterLines="0" w:afterAutospacing="0" w:line="560" w:lineRule="exact"/>
        <w:jc w:val="both"/>
        <w:textAlignment w:val="auto"/>
        <w:rPr>
          <w:rFonts w:hint="eastAsia" w:ascii="仿宋_GB2312" w:hAnsi="仿宋_GB2312" w:eastAsia="仿宋_GB2312" w:cs="仿宋_GB2312"/>
          <w:color w:val="auto"/>
          <w:sz w:val="32"/>
          <w:szCs w:val="32"/>
        </w:rPr>
      </w:pPr>
    </w:p>
    <w:p>
      <w:pPr>
        <w:pStyle w:val="2"/>
        <w:keepNext w:val="0"/>
        <w:keepLines w:val="0"/>
        <w:pageBreakBefore w:val="0"/>
        <w:kinsoku/>
        <w:wordWrap/>
        <w:overflowPunct/>
        <w:topLinePunct w:val="0"/>
        <w:autoSpaceDE/>
        <w:autoSpaceDN/>
        <w:bidi w:val="0"/>
        <w:adjustRightInd/>
        <w:snapToGrid/>
        <w:spacing w:before="0" w:beforeLines="0" w:beforeAutospacing="0" w:after="0" w:afterLines="0" w:afterAutospacing="0" w:line="560" w:lineRule="exact"/>
        <w:jc w:val="both"/>
        <w:textAlignment w:val="auto"/>
        <w:rPr>
          <w:rFonts w:hint="eastAsia" w:ascii="仿宋_GB2312" w:hAnsi="仿宋_GB2312" w:eastAsia="仿宋_GB2312" w:cs="仿宋_GB2312"/>
          <w:color w:val="auto"/>
          <w:sz w:val="32"/>
          <w:szCs w:val="32"/>
        </w:rPr>
      </w:pPr>
    </w:p>
    <w:p>
      <w:pPr>
        <w:pStyle w:val="2"/>
        <w:keepNext w:val="0"/>
        <w:keepLines w:val="0"/>
        <w:pageBreakBefore w:val="0"/>
        <w:kinsoku/>
        <w:wordWrap/>
        <w:overflowPunct/>
        <w:topLinePunct w:val="0"/>
        <w:autoSpaceDE/>
        <w:autoSpaceDN/>
        <w:bidi w:val="0"/>
        <w:adjustRightInd/>
        <w:snapToGrid/>
        <w:spacing w:before="0" w:beforeLines="0" w:beforeAutospacing="0" w:after="0" w:afterLines="0" w:afterAutospacing="0" w:line="560" w:lineRule="exact"/>
        <w:jc w:val="both"/>
        <w:textAlignment w:val="auto"/>
        <w:rPr>
          <w:rFonts w:hint="eastAsia" w:ascii="仿宋_GB2312" w:hAnsi="仿宋_GB2312" w:eastAsia="仿宋_GB2312" w:cs="仿宋_GB2312"/>
          <w:color w:val="auto"/>
          <w:sz w:val="32"/>
          <w:szCs w:val="32"/>
        </w:rPr>
      </w:pPr>
    </w:p>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FB5DE4"/>
    <w:rsid w:val="1FFB5DE4"/>
    <w:rsid w:val="619078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Body Text Indent 2"/>
    <w:basedOn w:val="1"/>
    <w:uiPriority w:val="0"/>
    <w:pPr>
      <w:widowControl/>
      <w:spacing w:before="100" w:beforeLines="0" w:beforeAutospacing="1" w:after="100" w:afterLines="0" w:afterAutospacing="1"/>
      <w:jc w:val="left"/>
    </w:pPr>
    <w:rPr>
      <w:rFonts w:ascii="宋体" w:hAnsi="宋体" w:cs="宋体"/>
      <w:kern w:val="0"/>
      <w:sz w:val="24"/>
    </w:rPr>
  </w:style>
  <w:style w:type="paragraph" w:styleId="3">
    <w:name w:val="footer"/>
    <w:basedOn w:val="1"/>
    <w:uiPriority w:val="0"/>
    <w:pPr>
      <w:tabs>
        <w:tab w:val="center" w:pos="4153"/>
        <w:tab w:val="right" w:pos="8306"/>
      </w:tabs>
      <w:snapToGrid w:val="0"/>
      <w:jc w:val="left"/>
    </w:pPr>
    <w:rPr>
      <w:sz w:val="18"/>
      <w:szCs w:val="18"/>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文化和旅游局</Company>
  <Pages>1</Pages>
  <Words>0</Words>
  <Characters>0</Characters>
  <Lines>0</Lines>
  <Paragraphs>0</Paragraphs>
  <TotalTime>0</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2020-07-29T08:11:00Z</dcterms:created>
  <dc:creator>Administrator</dc:creator>
  <cp:lastModifiedBy>Administrator</cp:lastModifiedBy>
  <dcterms:modified xsi:type="dcterms:W3CDTF">2020-07-29T08:11:45Z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