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560" w:lineRule="exact"/>
        <w:jc w:val="left"/>
        <w:textAlignment w:val="auto"/>
        <w:outlineLvl w:val="9"/>
        <w:rPr>
          <w:rFonts w:eastAsia="黑体"/>
          <w:sz w:val="32"/>
          <w:szCs w:val="32"/>
        </w:rPr>
      </w:pPr>
      <w:r>
        <w:rPr>
          <w:rFonts w:hint="eastAsia" w:hAnsi="黑体" w:eastAsia="黑体"/>
          <w:sz w:val="28"/>
          <w:szCs w:val="28"/>
        </w:rPr>
        <w:t>附件</w:t>
      </w:r>
      <w:r>
        <w:rPr>
          <w:rFonts w:eastAsia="黑体"/>
          <w:sz w:val="28"/>
          <w:szCs w:val="28"/>
        </w:rPr>
        <w:t>1</w:t>
      </w:r>
      <w:r>
        <w:rPr>
          <w:rFonts w:hint="eastAsia" w:hAnsi="黑体" w:eastAsia="黑体"/>
          <w:sz w:val="28"/>
          <w:szCs w:val="28"/>
        </w:rPr>
        <w:t>：</w:t>
      </w:r>
    </w:p>
    <w:p>
      <w:pPr>
        <w:keepNext w:val="0"/>
        <w:keepLines w:val="0"/>
        <w:pageBreakBefore w:val="0"/>
        <w:kinsoku/>
        <w:wordWrap/>
        <w:overflowPunct/>
        <w:topLinePunct w:val="0"/>
        <w:bidi w:val="0"/>
        <w:spacing w:line="560" w:lineRule="exact"/>
        <w:jc w:val="left"/>
        <w:textAlignment w:val="auto"/>
        <w:outlineLvl w:val="9"/>
        <w:rPr>
          <w:rFonts w:eastAsia="黑体"/>
          <w:sz w:val="32"/>
          <w:szCs w:val="32"/>
        </w:rPr>
      </w:pPr>
    </w:p>
    <w:p>
      <w:pPr>
        <w:keepNext w:val="0"/>
        <w:keepLines w:val="0"/>
        <w:pageBreakBefore w:val="0"/>
        <w:kinsoku/>
        <w:wordWrap/>
        <w:overflowPunct/>
        <w:topLinePunct w:val="0"/>
        <w:bidi w:val="0"/>
        <w:spacing w:line="560" w:lineRule="exact"/>
        <w:jc w:val="center"/>
        <w:textAlignment w:val="auto"/>
        <w:outlineLvl w:val="9"/>
        <w:rPr>
          <w:rFonts w:eastAsia="方正小标宋简体"/>
          <w:color w:val="000000"/>
          <w:sz w:val="44"/>
          <w:szCs w:val="44"/>
        </w:rPr>
      </w:pPr>
      <w:r>
        <w:rPr>
          <w:rFonts w:hint="eastAsia" w:eastAsia="方正小标宋简体"/>
          <w:color w:val="000000"/>
          <w:sz w:val="44"/>
          <w:szCs w:val="44"/>
        </w:rPr>
        <w:t>小加工作坊火灾防控技术指导意见</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z w:val="32"/>
          <w:szCs w:val="32"/>
        </w:rPr>
      </w:pPr>
      <w:r>
        <w:rPr>
          <w:rFonts w:hint="eastAsia" w:eastAsia="仿宋_GB2312"/>
          <w:color w:val="000000"/>
          <w:spacing w:val="-6"/>
          <w:sz w:val="32"/>
          <w:szCs w:val="32"/>
        </w:rPr>
        <w:t>近来，浙江温岭、广东揭阳等地相继发生小加工作坊火灾事故，</w:t>
      </w:r>
      <w:r>
        <w:rPr>
          <w:rFonts w:hint="eastAsia" w:eastAsia="仿宋_GB2312"/>
          <w:color w:val="000000"/>
          <w:sz w:val="32"/>
          <w:szCs w:val="32"/>
        </w:rPr>
        <w:t>造成重大人员伤亡。此类小加工作坊主要从事服装、鞋袜、玩具、电子器件等加工生产活动，集加工、储存于一体，可燃物多，疏散条件差，且人员消防安全意识淡薄，消防安全管理混乱，具有较高的火灾危险性。为吸取火灾事故教训，指导各地开展既有小加工作坊的消防安全治理，现提出以下指导意见。</w:t>
      </w:r>
    </w:p>
    <w:p>
      <w:pPr>
        <w:pStyle w:val="2"/>
        <w:keepNext w:val="0"/>
        <w:keepLines w:val="0"/>
        <w:pageBreakBefore w:val="0"/>
        <w:kinsoku/>
        <w:wordWrap/>
        <w:overflowPunct/>
        <w:topLinePunct w:val="0"/>
        <w:bidi w:val="0"/>
        <w:adjustRightInd w:val="0"/>
        <w:snapToGrid w:val="0"/>
        <w:spacing w:after="0" w:line="560" w:lineRule="exact"/>
        <w:ind w:left="0" w:leftChars="0" w:firstLine="640" w:firstLineChars="200"/>
        <w:textAlignment w:val="auto"/>
        <w:outlineLvl w:val="9"/>
        <w:rPr>
          <w:rFonts w:ascii="Times New Roman" w:hAnsi="Times New Roman" w:eastAsia="黑体"/>
          <w:color w:val="000000"/>
          <w:szCs w:val="32"/>
        </w:rPr>
      </w:pPr>
      <w:r>
        <w:rPr>
          <w:rFonts w:hint="eastAsia" w:ascii="Times New Roman" w:eastAsia="黑体"/>
          <w:color w:val="000000"/>
          <w:szCs w:val="32"/>
        </w:rPr>
        <w:t>一、适用范围</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本《意见》适用于利用自建房从事</w:t>
      </w:r>
      <w:r>
        <w:rPr>
          <w:rFonts w:hint="eastAsia" w:eastAsia="仿宋_GB2312"/>
          <w:color w:val="000000"/>
          <w:sz w:val="32"/>
          <w:szCs w:val="32"/>
        </w:rPr>
        <w:t>服装、鞋袜、玩具、电子器件等</w:t>
      </w:r>
      <w:r>
        <w:rPr>
          <w:rFonts w:hint="eastAsia" w:eastAsia="仿宋_GB2312"/>
          <w:color w:val="000000"/>
          <w:spacing w:val="-6"/>
          <w:sz w:val="32"/>
          <w:szCs w:val="32"/>
        </w:rPr>
        <w:t>火灾危险性为丙类物品加工生产，且层数不超过</w:t>
      </w:r>
      <w:r>
        <w:rPr>
          <w:rFonts w:eastAsia="仿宋_GB2312"/>
          <w:color w:val="000000"/>
          <w:spacing w:val="-6"/>
          <w:sz w:val="32"/>
          <w:szCs w:val="32"/>
        </w:rPr>
        <w:t>5</w:t>
      </w:r>
      <w:r>
        <w:rPr>
          <w:rFonts w:hint="eastAsia" w:eastAsia="仿宋_GB2312"/>
          <w:color w:val="000000"/>
          <w:spacing w:val="-6"/>
          <w:sz w:val="32"/>
          <w:szCs w:val="32"/>
        </w:rPr>
        <w:t>层、总建筑面积不超过</w:t>
      </w:r>
      <w:r>
        <w:rPr>
          <w:rFonts w:eastAsia="仿宋_GB2312"/>
          <w:color w:val="000000"/>
          <w:spacing w:val="-6"/>
          <w:sz w:val="32"/>
          <w:szCs w:val="32"/>
        </w:rPr>
        <w:t>2500 m</w:t>
      </w:r>
      <w:r>
        <w:rPr>
          <w:rFonts w:eastAsia="仿宋_GB2312"/>
          <w:color w:val="000000"/>
          <w:spacing w:val="-6"/>
          <w:sz w:val="32"/>
          <w:szCs w:val="32"/>
          <w:vertAlign w:val="superscript"/>
        </w:rPr>
        <w:t>2</w:t>
      </w:r>
      <w:r>
        <w:rPr>
          <w:rFonts w:hint="eastAsia" w:eastAsia="仿宋_GB2312"/>
          <w:color w:val="000000"/>
          <w:spacing w:val="-6"/>
          <w:sz w:val="32"/>
          <w:szCs w:val="32"/>
        </w:rPr>
        <w:t>既有小加工作坊的火灾隐患整改。</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甲、乙类及层数超过</w:t>
      </w:r>
      <w:r>
        <w:rPr>
          <w:rFonts w:eastAsia="仿宋_GB2312"/>
          <w:color w:val="000000"/>
          <w:spacing w:val="-6"/>
          <w:sz w:val="32"/>
          <w:szCs w:val="32"/>
        </w:rPr>
        <w:t>5</w:t>
      </w:r>
      <w:r>
        <w:rPr>
          <w:rFonts w:hint="eastAsia" w:eastAsia="仿宋_GB2312"/>
          <w:color w:val="000000"/>
          <w:spacing w:val="-6"/>
          <w:sz w:val="32"/>
          <w:szCs w:val="32"/>
        </w:rPr>
        <w:t>层、总建筑面积超过</w:t>
      </w:r>
      <w:r>
        <w:rPr>
          <w:rFonts w:eastAsia="仿宋_GB2312"/>
          <w:color w:val="000000"/>
          <w:spacing w:val="-6"/>
          <w:sz w:val="32"/>
          <w:szCs w:val="32"/>
        </w:rPr>
        <w:t>2500 m2</w:t>
      </w:r>
      <w:r>
        <w:rPr>
          <w:rFonts w:hint="eastAsia" w:eastAsia="仿宋_GB2312"/>
          <w:color w:val="000000"/>
          <w:spacing w:val="-6"/>
          <w:sz w:val="32"/>
          <w:szCs w:val="32"/>
        </w:rPr>
        <w:t>的加工生产场所，按现行国家标准的有关规定进行整改。</w:t>
      </w:r>
    </w:p>
    <w:p>
      <w:pPr>
        <w:keepNext w:val="0"/>
        <w:keepLines w:val="0"/>
        <w:pageBreakBefore w:val="0"/>
        <w:kinsoku/>
        <w:wordWrap/>
        <w:overflowPunct/>
        <w:topLinePunct w:val="0"/>
        <w:bidi w:val="0"/>
        <w:spacing w:line="560" w:lineRule="exact"/>
        <w:ind w:firstLine="640" w:firstLineChars="200"/>
        <w:textAlignment w:val="auto"/>
        <w:outlineLvl w:val="9"/>
        <w:rPr>
          <w:rFonts w:eastAsia="黑体"/>
          <w:color w:val="000000"/>
          <w:sz w:val="32"/>
          <w:szCs w:val="32"/>
        </w:rPr>
      </w:pPr>
      <w:r>
        <w:rPr>
          <w:rFonts w:hint="eastAsia" w:eastAsia="黑体"/>
          <w:color w:val="000000"/>
          <w:sz w:val="32"/>
          <w:szCs w:val="32"/>
        </w:rPr>
        <w:t>二、建筑防火要求</w:t>
      </w:r>
    </w:p>
    <w:p>
      <w:pPr>
        <w:keepNext w:val="0"/>
        <w:keepLines w:val="0"/>
        <w:pageBreakBefore w:val="0"/>
        <w:kinsoku/>
        <w:wordWrap/>
        <w:overflowPunct/>
        <w:topLinePunct w:val="0"/>
        <w:bidi w:val="0"/>
        <w:spacing w:line="560" w:lineRule="exact"/>
        <w:textAlignment w:val="auto"/>
        <w:outlineLvl w:val="9"/>
        <w:rPr>
          <w:rFonts w:eastAsia="仿宋_GB2312"/>
          <w:color w:val="000000"/>
          <w:spacing w:val="-6"/>
          <w:sz w:val="32"/>
          <w:szCs w:val="32"/>
        </w:rPr>
      </w:pPr>
      <w:r>
        <w:rPr>
          <w:rFonts w:eastAsia="仿宋_GB2312"/>
          <w:color w:val="000000"/>
          <w:spacing w:val="-6"/>
          <w:sz w:val="32"/>
          <w:szCs w:val="32"/>
        </w:rPr>
        <w:t xml:space="preserve">    </w:t>
      </w:r>
      <w:r>
        <w:rPr>
          <w:rFonts w:hint="eastAsia" w:eastAsia="仿宋_GB2312"/>
          <w:color w:val="000000"/>
          <w:spacing w:val="-6"/>
          <w:sz w:val="32"/>
          <w:szCs w:val="32"/>
        </w:rPr>
        <w:t>（一）建筑耐火等级宜为一、二级，不应低于三级。当为三级耐火等级建筑时，层数不应超过</w:t>
      </w:r>
      <w:r>
        <w:rPr>
          <w:rFonts w:eastAsia="仿宋_GB2312"/>
          <w:color w:val="000000"/>
          <w:spacing w:val="-6"/>
          <w:sz w:val="32"/>
          <w:szCs w:val="32"/>
        </w:rPr>
        <w:t>2</w:t>
      </w:r>
      <w:r>
        <w:rPr>
          <w:rFonts w:hint="eastAsia" w:eastAsia="仿宋_GB2312"/>
          <w:color w:val="000000"/>
          <w:spacing w:val="-6"/>
          <w:sz w:val="32"/>
          <w:szCs w:val="32"/>
        </w:rPr>
        <w:t>层，总建筑面积不应超过</w:t>
      </w:r>
      <w:r>
        <w:rPr>
          <w:rFonts w:eastAsia="仿宋_GB2312"/>
          <w:color w:val="000000"/>
          <w:spacing w:val="-6"/>
          <w:sz w:val="32"/>
          <w:szCs w:val="32"/>
        </w:rPr>
        <w:t>1000m</w:t>
      </w:r>
      <w:r>
        <w:rPr>
          <w:rFonts w:eastAsia="仿宋_GB2312"/>
          <w:color w:val="000000"/>
          <w:spacing w:val="-6"/>
          <w:sz w:val="32"/>
          <w:szCs w:val="32"/>
          <w:vertAlign w:val="superscript"/>
        </w:rPr>
        <w:t>2</w:t>
      </w:r>
      <w:r>
        <w:rPr>
          <w:rFonts w:hint="eastAsia" w:eastAsia="仿宋_GB2312"/>
          <w:color w:val="000000"/>
          <w:spacing w:val="-6"/>
          <w:sz w:val="32"/>
          <w:szCs w:val="32"/>
        </w:rPr>
        <w:t>。当建筑构件为金属夹心板材时，其芯材的燃烧性能等级应为</w:t>
      </w:r>
      <w:r>
        <w:rPr>
          <w:rFonts w:eastAsia="仿宋_GB2312"/>
          <w:color w:val="000000"/>
          <w:spacing w:val="-6"/>
          <w:sz w:val="32"/>
          <w:szCs w:val="32"/>
        </w:rPr>
        <w:t>A</w:t>
      </w:r>
      <w:r>
        <w:rPr>
          <w:rFonts w:hint="eastAsia" w:eastAsia="仿宋_GB2312"/>
          <w:color w:val="000000"/>
          <w:spacing w:val="-6"/>
          <w:sz w:val="32"/>
          <w:szCs w:val="32"/>
        </w:rPr>
        <w:t>级。</w:t>
      </w:r>
    </w:p>
    <w:p>
      <w:pPr>
        <w:keepNext w:val="0"/>
        <w:keepLines w:val="0"/>
        <w:pageBreakBefore w:val="0"/>
        <w:kinsoku/>
        <w:wordWrap/>
        <w:overflowPunct/>
        <w:topLinePunct w:val="0"/>
        <w:bidi w:val="0"/>
        <w:spacing w:line="560" w:lineRule="exact"/>
        <w:textAlignment w:val="auto"/>
        <w:outlineLvl w:val="9"/>
        <w:rPr>
          <w:rFonts w:eastAsia="仿宋_GB2312"/>
          <w:color w:val="000000"/>
          <w:spacing w:val="-6"/>
          <w:sz w:val="32"/>
          <w:szCs w:val="32"/>
        </w:rPr>
      </w:pPr>
      <w:r>
        <w:rPr>
          <w:rFonts w:eastAsia="仿宋_GB2312"/>
          <w:color w:val="000000"/>
          <w:spacing w:val="-6"/>
          <w:sz w:val="32"/>
          <w:szCs w:val="32"/>
        </w:rPr>
        <w:t xml:space="preserve">    </w:t>
      </w:r>
      <w:r>
        <w:rPr>
          <w:rFonts w:hint="eastAsia" w:eastAsia="仿宋_GB2312"/>
          <w:color w:val="000000"/>
          <w:spacing w:val="-6"/>
          <w:sz w:val="32"/>
          <w:szCs w:val="32"/>
        </w:rPr>
        <w:t>（二）小加工作坊不应设置于地下、半地下建筑（室）内。</w:t>
      </w:r>
    </w:p>
    <w:p>
      <w:pPr>
        <w:keepNext w:val="0"/>
        <w:keepLines w:val="0"/>
        <w:pageBreakBefore w:val="0"/>
        <w:kinsoku/>
        <w:wordWrap/>
        <w:overflowPunct/>
        <w:topLinePunct w:val="0"/>
        <w:bidi w:val="0"/>
        <w:spacing w:line="560" w:lineRule="exact"/>
        <w:textAlignment w:val="auto"/>
        <w:outlineLvl w:val="9"/>
        <w:rPr>
          <w:rFonts w:eastAsia="仿宋_GB2312"/>
          <w:color w:val="000000"/>
          <w:spacing w:val="-6"/>
          <w:sz w:val="32"/>
          <w:szCs w:val="32"/>
        </w:rPr>
      </w:pPr>
      <w:r>
        <w:rPr>
          <w:rFonts w:eastAsia="仿宋_GB2312"/>
          <w:color w:val="000000"/>
          <w:spacing w:val="-6"/>
          <w:sz w:val="32"/>
          <w:szCs w:val="32"/>
        </w:rPr>
        <w:t xml:space="preserve">    </w:t>
      </w:r>
      <w:r>
        <w:rPr>
          <w:rFonts w:hint="eastAsia" w:eastAsia="仿宋_GB2312"/>
          <w:color w:val="000000"/>
          <w:spacing w:val="-6"/>
          <w:sz w:val="32"/>
          <w:szCs w:val="32"/>
        </w:rPr>
        <w:t>（三）建筑内的加工、储存等不同使用功能部位之间宜采用不燃性实体墙进行防火分隔。</w:t>
      </w:r>
    </w:p>
    <w:p>
      <w:pPr>
        <w:keepNext w:val="0"/>
        <w:keepLines w:val="0"/>
        <w:pageBreakBefore w:val="0"/>
        <w:kinsoku/>
        <w:wordWrap/>
        <w:overflowPunct/>
        <w:topLinePunct w:val="0"/>
        <w:bidi w:val="0"/>
        <w:spacing w:line="560" w:lineRule="exact"/>
        <w:textAlignment w:val="auto"/>
        <w:outlineLvl w:val="9"/>
        <w:rPr>
          <w:rFonts w:eastAsia="仿宋_GB2312"/>
          <w:color w:val="000000"/>
          <w:spacing w:val="-6"/>
          <w:sz w:val="32"/>
          <w:szCs w:val="32"/>
        </w:rPr>
      </w:pPr>
      <w:r>
        <w:rPr>
          <w:rFonts w:eastAsia="仿宋_GB2312"/>
          <w:color w:val="000000"/>
          <w:spacing w:val="-6"/>
          <w:sz w:val="32"/>
          <w:szCs w:val="32"/>
        </w:rPr>
        <w:t xml:space="preserve">    </w:t>
      </w:r>
      <w:r>
        <w:rPr>
          <w:rFonts w:hint="eastAsia" w:eastAsia="仿宋_GB2312"/>
          <w:color w:val="000000"/>
          <w:spacing w:val="-6"/>
          <w:sz w:val="32"/>
          <w:szCs w:val="32"/>
        </w:rPr>
        <w:t>（四）当任一层建筑面积大于</w:t>
      </w:r>
      <w:r>
        <w:rPr>
          <w:rFonts w:eastAsia="仿宋_GB2312"/>
          <w:color w:val="000000"/>
          <w:spacing w:val="-6"/>
          <w:sz w:val="32"/>
          <w:szCs w:val="32"/>
        </w:rPr>
        <w:t>150m</w:t>
      </w:r>
      <w:r>
        <w:rPr>
          <w:rFonts w:eastAsia="仿宋_GB2312"/>
          <w:color w:val="000000"/>
          <w:spacing w:val="-6"/>
          <w:sz w:val="32"/>
          <w:szCs w:val="32"/>
          <w:vertAlign w:val="superscript"/>
        </w:rPr>
        <w:t>2</w:t>
      </w:r>
      <w:r>
        <w:rPr>
          <w:rFonts w:hint="eastAsia" w:eastAsia="仿宋_GB2312"/>
          <w:color w:val="000000"/>
          <w:spacing w:val="-6"/>
          <w:sz w:val="32"/>
          <w:szCs w:val="32"/>
        </w:rPr>
        <w:t>，或同一时间的生产人数超过</w:t>
      </w:r>
      <w:r>
        <w:rPr>
          <w:rFonts w:eastAsia="仿宋_GB2312"/>
          <w:color w:val="000000"/>
          <w:spacing w:val="-6"/>
          <w:sz w:val="32"/>
          <w:szCs w:val="32"/>
        </w:rPr>
        <w:t>10</w:t>
      </w:r>
      <w:r>
        <w:rPr>
          <w:rFonts w:hint="eastAsia" w:eastAsia="仿宋_GB2312"/>
          <w:color w:val="000000"/>
          <w:spacing w:val="-6"/>
          <w:sz w:val="32"/>
          <w:szCs w:val="32"/>
        </w:rPr>
        <w:t>人时，首层安全出口不应少于</w:t>
      </w:r>
      <w:r>
        <w:rPr>
          <w:rFonts w:eastAsia="仿宋_GB2312"/>
          <w:color w:val="000000"/>
          <w:spacing w:val="-6"/>
          <w:sz w:val="32"/>
          <w:szCs w:val="32"/>
        </w:rPr>
        <w:t>2</w:t>
      </w:r>
      <w:r>
        <w:rPr>
          <w:rFonts w:hint="eastAsia" w:eastAsia="仿宋_GB2312"/>
          <w:color w:val="000000"/>
          <w:spacing w:val="-6"/>
          <w:sz w:val="32"/>
          <w:szCs w:val="32"/>
        </w:rPr>
        <w:t>个，疏散楼梯不应少于</w:t>
      </w:r>
      <w:r>
        <w:rPr>
          <w:rFonts w:eastAsia="仿宋_GB2312"/>
          <w:color w:val="000000"/>
          <w:spacing w:val="-6"/>
          <w:sz w:val="32"/>
          <w:szCs w:val="32"/>
        </w:rPr>
        <w:t>2</w:t>
      </w:r>
      <w:r>
        <w:rPr>
          <w:rFonts w:hint="eastAsia" w:eastAsia="仿宋_GB2312"/>
          <w:color w:val="000000"/>
          <w:spacing w:val="-6"/>
          <w:sz w:val="32"/>
          <w:szCs w:val="32"/>
        </w:rPr>
        <w:t>部，当现有疏散楼梯数量不足时，应增设室外楼梯。室内任一点至最近安全出口的距离不应大于</w:t>
      </w:r>
      <w:r>
        <w:rPr>
          <w:rFonts w:eastAsia="仿宋_GB2312"/>
          <w:color w:val="000000"/>
          <w:spacing w:val="-6"/>
          <w:sz w:val="32"/>
          <w:szCs w:val="32"/>
        </w:rPr>
        <w:t>40m</w:t>
      </w:r>
      <w:r>
        <w:rPr>
          <w:rFonts w:hint="eastAsia" w:eastAsia="仿宋_GB2312"/>
          <w:color w:val="000000"/>
          <w:spacing w:val="-6"/>
          <w:sz w:val="32"/>
          <w:szCs w:val="32"/>
        </w:rPr>
        <w:t>。</w:t>
      </w:r>
    </w:p>
    <w:p>
      <w:pPr>
        <w:keepNext w:val="0"/>
        <w:keepLines w:val="0"/>
        <w:pageBreakBefore w:val="0"/>
        <w:kinsoku/>
        <w:wordWrap/>
        <w:overflowPunct/>
        <w:topLinePunct w:val="0"/>
        <w:bidi w:val="0"/>
        <w:spacing w:line="560" w:lineRule="exact"/>
        <w:ind w:firstLine="570"/>
        <w:textAlignment w:val="auto"/>
        <w:outlineLvl w:val="9"/>
        <w:rPr>
          <w:rFonts w:eastAsia="仿宋_GB2312"/>
          <w:color w:val="000000"/>
          <w:spacing w:val="-6"/>
          <w:sz w:val="32"/>
          <w:szCs w:val="32"/>
        </w:rPr>
      </w:pPr>
      <w:r>
        <w:rPr>
          <w:rFonts w:hint="eastAsia" w:eastAsia="仿宋_GB2312"/>
          <w:color w:val="000000"/>
          <w:spacing w:val="-6"/>
          <w:sz w:val="32"/>
          <w:szCs w:val="32"/>
        </w:rPr>
        <w:t>（五）建筑内的疏散楼梯宜通至屋顶平台。建筑内部及通向屋顶的疏散门应向疏散方向开启，并应确保火灾时易于从内部打开。</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z w:val="32"/>
          <w:szCs w:val="32"/>
          <w:shd w:val="pct10" w:color="auto" w:fill="FFFFFF"/>
        </w:rPr>
      </w:pPr>
      <w:r>
        <w:rPr>
          <w:rFonts w:hint="eastAsia" w:eastAsia="仿宋_GB2312"/>
          <w:color w:val="000000"/>
          <w:spacing w:val="-6"/>
          <w:sz w:val="32"/>
          <w:szCs w:val="32"/>
        </w:rPr>
        <w:t>（六）窗口、阳台等部位设置封闭金属栅栏时，应确保易于从内部打开，</w:t>
      </w:r>
      <w:r>
        <w:rPr>
          <w:rFonts w:hint="eastAsia" w:eastAsia="仿宋_GB2312"/>
          <w:color w:val="000000"/>
          <w:sz w:val="32"/>
          <w:szCs w:val="32"/>
        </w:rPr>
        <w:t>并宜设置逃生梯、逃生绳等辅助疏散逃生设施。</w:t>
      </w:r>
    </w:p>
    <w:p>
      <w:pPr>
        <w:keepNext w:val="0"/>
        <w:keepLines w:val="0"/>
        <w:pageBreakBefore w:val="0"/>
        <w:kinsoku/>
        <w:wordWrap/>
        <w:overflowPunct/>
        <w:topLinePunct w:val="0"/>
        <w:bidi w:val="0"/>
        <w:spacing w:line="560" w:lineRule="exact"/>
        <w:textAlignment w:val="auto"/>
        <w:outlineLvl w:val="9"/>
        <w:rPr>
          <w:rFonts w:eastAsia="仿宋_GB2312"/>
          <w:color w:val="000000"/>
          <w:spacing w:val="-6"/>
          <w:sz w:val="32"/>
          <w:szCs w:val="32"/>
        </w:rPr>
      </w:pPr>
      <w:r>
        <w:rPr>
          <w:rFonts w:eastAsia="仿宋_GB2312"/>
          <w:color w:val="000000"/>
          <w:spacing w:val="-6"/>
          <w:sz w:val="32"/>
          <w:szCs w:val="32"/>
        </w:rPr>
        <w:t xml:space="preserve">    </w:t>
      </w:r>
      <w:r>
        <w:rPr>
          <w:rFonts w:hint="eastAsia" w:eastAsia="仿宋_GB2312"/>
          <w:color w:val="000000"/>
          <w:spacing w:val="-6"/>
          <w:sz w:val="32"/>
          <w:szCs w:val="32"/>
        </w:rPr>
        <w:t>（七）</w:t>
      </w:r>
      <w:r>
        <w:rPr>
          <w:rFonts w:hint="eastAsia" w:eastAsia="仿宋_GB2312"/>
          <w:color w:val="000000"/>
          <w:sz w:val="32"/>
          <w:szCs w:val="32"/>
        </w:rPr>
        <w:t>加工生产区域应设置可开启外窗。可开启外窗的面积不应小于该场所地面面积的</w:t>
      </w:r>
      <w:r>
        <w:rPr>
          <w:rFonts w:eastAsia="仿宋_GB2312"/>
          <w:color w:val="000000"/>
          <w:spacing w:val="-6"/>
          <w:sz w:val="32"/>
          <w:szCs w:val="32"/>
        </w:rPr>
        <w:t>2%</w:t>
      </w:r>
      <w:r>
        <w:rPr>
          <w:rFonts w:hint="eastAsia" w:eastAsia="仿宋_GB2312"/>
          <w:color w:val="000000"/>
          <w:sz w:val="32"/>
          <w:szCs w:val="32"/>
        </w:rPr>
        <w:t>。</w:t>
      </w:r>
    </w:p>
    <w:p>
      <w:pPr>
        <w:keepNext w:val="0"/>
        <w:keepLines w:val="0"/>
        <w:pageBreakBefore w:val="0"/>
        <w:kinsoku/>
        <w:wordWrap/>
        <w:overflowPunct/>
        <w:topLinePunct w:val="0"/>
        <w:bidi w:val="0"/>
        <w:spacing w:line="560" w:lineRule="exact"/>
        <w:ind w:firstLine="630"/>
        <w:textAlignment w:val="auto"/>
        <w:outlineLvl w:val="9"/>
        <w:rPr>
          <w:rFonts w:eastAsia="黑体"/>
          <w:color w:val="000000"/>
          <w:sz w:val="32"/>
          <w:szCs w:val="32"/>
        </w:rPr>
      </w:pPr>
      <w:r>
        <w:rPr>
          <w:rFonts w:hint="eastAsia" w:eastAsia="黑体"/>
          <w:color w:val="000000"/>
          <w:sz w:val="32"/>
          <w:szCs w:val="32"/>
        </w:rPr>
        <w:t>三、消防设施配备要求</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（一）任一层建筑面积大于</w:t>
      </w:r>
      <w:r>
        <w:rPr>
          <w:rFonts w:eastAsia="仿宋_GB2312"/>
          <w:color w:val="000000"/>
          <w:spacing w:val="-6"/>
          <w:sz w:val="32"/>
          <w:szCs w:val="32"/>
        </w:rPr>
        <w:t>250m</w:t>
      </w:r>
      <w:r>
        <w:rPr>
          <w:rFonts w:eastAsia="仿宋_GB2312"/>
          <w:color w:val="000000"/>
          <w:spacing w:val="-6"/>
          <w:sz w:val="32"/>
          <w:szCs w:val="32"/>
          <w:vertAlign w:val="superscript"/>
        </w:rPr>
        <w:t>2</w:t>
      </w:r>
      <w:r>
        <w:rPr>
          <w:rFonts w:hint="eastAsia" w:eastAsia="仿宋_GB2312"/>
          <w:color w:val="000000"/>
          <w:spacing w:val="-6"/>
          <w:sz w:val="32"/>
          <w:szCs w:val="32"/>
        </w:rPr>
        <w:t>或总建筑面积大于</w:t>
      </w:r>
      <w:r>
        <w:rPr>
          <w:rFonts w:eastAsia="仿宋_GB2312"/>
          <w:color w:val="000000"/>
          <w:spacing w:val="-6"/>
          <w:sz w:val="32"/>
          <w:szCs w:val="32"/>
        </w:rPr>
        <w:t>500 m</w:t>
      </w:r>
      <w:r>
        <w:rPr>
          <w:rFonts w:eastAsia="仿宋_GB2312"/>
          <w:color w:val="000000"/>
          <w:spacing w:val="-6"/>
          <w:sz w:val="32"/>
          <w:szCs w:val="32"/>
          <w:vertAlign w:val="superscript"/>
        </w:rPr>
        <w:t>2</w:t>
      </w:r>
      <w:r>
        <w:rPr>
          <w:rFonts w:hint="eastAsia" w:eastAsia="仿宋_GB2312"/>
          <w:color w:val="000000"/>
          <w:spacing w:val="-6"/>
          <w:sz w:val="32"/>
          <w:szCs w:val="32"/>
        </w:rPr>
        <w:t>的建筑应设置独立式感烟探测器，有条件的，宜设置火灾自动报警系统。</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z w:val="32"/>
          <w:szCs w:val="32"/>
        </w:rPr>
      </w:pPr>
      <w:r>
        <w:rPr>
          <w:rFonts w:hint="eastAsia" w:eastAsia="仿宋_GB2312"/>
          <w:color w:val="000000"/>
          <w:spacing w:val="-6"/>
          <w:sz w:val="32"/>
          <w:szCs w:val="32"/>
        </w:rPr>
        <w:t>（二）任一层建筑面积大于</w:t>
      </w:r>
      <w:r>
        <w:rPr>
          <w:rFonts w:eastAsia="仿宋_GB2312"/>
          <w:color w:val="000000"/>
          <w:spacing w:val="-6"/>
          <w:sz w:val="32"/>
          <w:szCs w:val="32"/>
        </w:rPr>
        <w:t>250m</w:t>
      </w:r>
      <w:r>
        <w:rPr>
          <w:rFonts w:eastAsia="仿宋_GB2312"/>
          <w:color w:val="000000"/>
          <w:spacing w:val="-6"/>
          <w:sz w:val="32"/>
          <w:szCs w:val="32"/>
          <w:vertAlign w:val="superscript"/>
        </w:rPr>
        <w:t>2</w:t>
      </w:r>
      <w:r>
        <w:rPr>
          <w:rFonts w:hint="eastAsia" w:eastAsia="仿宋_GB2312"/>
          <w:color w:val="000000"/>
          <w:spacing w:val="-6"/>
          <w:sz w:val="32"/>
          <w:szCs w:val="32"/>
        </w:rPr>
        <w:t>或总建筑面积大于</w:t>
      </w:r>
      <w:r>
        <w:rPr>
          <w:rFonts w:eastAsia="仿宋_GB2312"/>
          <w:color w:val="000000"/>
          <w:spacing w:val="-6"/>
          <w:sz w:val="32"/>
          <w:szCs w:val="32"/>
        </w:rPr>
        <w:t>500 m</w:t>
      </w:r>
      <w:r>
        <w:rPr>
          <w:rFonts w:eastAsia="仿宋_GB2312"/>
          <w:color w:val="000000"/>
          <w:spacing w:val="-6"/>
          <w:sz w:val="32"/>
          <w:szCs w:val="32"/>
          <w:vertAlign w:val="superscript"/>
        </w:rPr>
        <w:t>2</w:t>
      </w:r>
      <w:r>
        <w:rPr>
          <w:rFonts w:hint="eastAsia" w:eastAsia="仿宋_GB2312"/>
          <w:color w:val="000000"/>
          <w:spacing w:val="-6"/>
          <w:sz w:val="32"/>
          <w:szCs w:val="32"/>
        </w:rPr>
        <w:t>的建筑应设置简易自动喷水灭火系统或消防软管卷盘（轻便消防水龙），有条件的，宜设置自动喷水灭火系统。</w:t>
      </w:r>
    </w:p>
    <w:p>
      <w:pPr>
        <w:keepNext w:val="0"/>
        <w:keepLines w:val="0"/>
        <w:pageBreakBefore w:val="0"/>
        <w:kinsoku/>
        <w:wordWrap/>
        <w:overflowPunct/>
        <w:topLinePunct w:val="0"/>
        <w:bidi w:val="0"/>
        <w:spacing w:line="560" w:lineRule="exact"/>
        <w:textAlignment w:val="auto"/>
        <w:outlineLvl w:val="9"/>
        <w:rPr>
          <w:rFonts w:eastAsia="仿宋_GB2312"/>
          <w:color w:val="000000"/>
          <w:sz w:val="32"/>
          <w:szCs w:val="32"/>
        </w:rPr>
      </w:pPr>
      <w:r>
        <w:rPr>
          <w:rFonts w:eastAsia="仿宋_GB2312"/>
          <w:color w:val="000000"/>
          <w:spacing w:val="-6"/>
          <w:sz w:val="32"/>
          <w:szCs w:val="32"/>
        </w:rPr>
        <w:t xml:space="preserve">    </w:t>
      </w:r>
      <w:r>
        <w:rPr>
          <w:rFonts w:hint="eastAsia" w:eastAsia="仿宋_GB2312"/>
          <w:color w:val="000000"/>
          <w:spacing w:val="-6"/>
          <w:sz w:val="32"/>
          <w:szCs w:val="32"/>
        </w:rPr>
        <w:t>（三）建筑内应配备灭火器、</w:t>
      </w:r>
      <w:r>
        <w:rPr>
          <w:rFonts w:hint="eastAsia" w:eastAsia="仿宋_GB2312"/>
          <w:color w:val="000000"/>
          <w:sz w:val="32"/>
          <w:szCs w:val="32"/>
        </w:rPr>
        <w:t>火灾警报装置和</w:t>
      </w:r>
      <w:r>
        <w:rPr>
          <w:rFonts w:hint="eastAsia" w:eastAsia="仿宋_GB2312"/>
          <w:color w:val="000000"/>
          <w:spacing w:val="-6"/>
          <w:sz w:val="32"/>
          <w:szCs w:val="32"/>
        </w:rPr>
        <w:t>疏散照明</w:t>
      </w:r>
      <w:r>
        <w:rPr>
          <w:rFonts w:hint="eastAsia" w:eastAsia="仿宋_GB2312"/>
          <w:color w:val="000000"/>
          <w:sz w:val="32"/>
          <w:szCs w:val="32"/>
        </w:rPr>
        <w:t>。</w:t>
      </w:r>
    </w:p>
    <w:p>
      <w:pPr>
        <w:keepNext w:val="0"/>
        <w:keepLines w:val="0"/>
        <w:pageBreakBefore w:val="0"/>
        <w:kinsoku/>
        <w:wordWrap/>
        <w:overflowPunct/>
        <w:topLinePunct w:val="0"/>
        <w:bidi w:val="0"/>
        <w:spacing w:line="560" w:lineRule="exact"/>
        <w:textAlignment w:val="auto"/>
        <w:outlineLvl w:val="9"/>
        <w:rPr>
          <w:rFonts w:eastAsia="仿宋_GB2312"/>
          <w:color w:val="000000"/>
          <w:spacing w:val="-6"/>
          <w:sz w:val="32"/>
          <w:szCs w:val="32"/>
        </w:rPr>
      </w:pPr>
      <w:r>
        <w:rPr>
          <w:rFonts w:eastAsia="仿宋_GB2312"/>
          <w:color w:val="000000"/>
          <w:spacing w:val="-6"/>
          <w:sz w:val="32"/>
          <w:szCs w:val="32"/>
        </w:rPr>
        <w:t xml:space="preserve">    </w:t>
      </w:r>
      <w:r>
        <w:rPr>
          <w:rFonts w:hint="eastAsia" w:eastAsia="仿宋_GB2312"/>
          <w:color w:val="000000"/>
          <w:spacing w:val="-6"/>
          <w:sz w:val="32"/>
          <w:szCs w:val="32"/>
        </w:rPr>
        <w:t>（四）小加工作坊数量多的乡镇、街道可统筹设置消防站（点），配备适用的消防装备、器材。</w:t>
      </w:r>
    </w:p>
    <w:p>
      <w:pPr>
        <w:pStyle w:val="2"/>
        <w:keepNext w:val="0"/>
        <w:keepLines w:val="0"/>
        <w:pageBreakBefore w:val="0"/>
        <w:kinsoku/>
        <w:wordWrap/>
        <w:overflowPunct/>
        <w:topLinePunct w:val="0"/>
        <w:bidi w:val="0"/>
        <w:adjustRightInd w:val="0"/>
        <w:snapToGrid w:val="0"/>
        <w:spacing w:after="0" w:line="560" w:lineRule="exact"/>
        <w:ind w:left="0" w:leftChars="0" w:firstLine="640" w:firstLineChars="200"/>
        <w:textAlignment w:val="auto"/>
        <w:outlineLvl w:val="9"/>
        <w:rPr>
          <w:rFonts w:ascii="Times New Roman" w:hAnsi="Times New Roman" w:eastAsia="黑体"/>
          <w:color w:val="000000"/>
          <w:szCs w:val="32"/>
        </w:rPr>
      </w:pPr>
      <w:r>
        <w:rPr>
          <w:rFonts w:hint="eastAsia" w:ascii="Times New Roman" w:eastAsia="黑体"/>
          <w:color w:val="000000"/>
          <w:szCs w:val="32"/>
        </w:rPr>
        <w:t>四、火灾危险源控制</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（一）加工生产区域内严禁储存易燃易爆危险物品。生产中使用酒精、油漆等危险物品时，应严格控制使用量（按一天的使用量计算）。</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z w:val="32"/>
          <w:szCs w:val="32"/>
        </w:rPr>
      </w:pPr>
      <w:r>
        <w:rPr>
          <w:rFonts w:hint="eastAsia" w:eastAsia="仿宋_GB2312"/>
          <w:color w:val="000000"/>
          <w:spacing w:val="-6"/>
          <w:sz w:val="32"/>
          <w:szCs w:val="32"/>
        </w:rPr>
        <w:t>（二）</w:t>
      </w:r>
      <w:r>
        <w:rPr>
          <w:rFonts w:hint="eastAsia" w:eastAsia="仿宋_GB2312"/>
          <w:color w:val="000000"/>
          <w:sz w:val="32"/>
          <w:szCs w:val="32"/>
        </w:rPr>
        <w:t>使用燃气灶具的厨房应具有自然通风条件，并应与加工、储存区域进行防火分隔。</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（三）电气线路明敷时应穿金属管或阻燃塑料套管。不得私拉乱接电线。严禁超负荷使用电气设备。</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bdr w:val="single" w:color="auto" w:sz="4" w:space="0"/>
        </w:rPr>
      </w:pPr>
      <w:r>
        <w:rPr>
          <w:rFonts w:hint="eastAsia" w:eastAsia="仿宋_GB2312"/>
          <w:color w:val="000000"/>
          <w:spacing w:val="-6"/>
          <w:sz w:val="32"/>
          <w:szCs w:val="32"/>
        </w:rPr>
        <w:t>（四）照明灯具、电取暖设备表面的高温部位应与可燃物保持安全距离，当靠近可燃物时，应采取隔热、散热等防火保护措施。</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（五）建筑外墙周围及防火间距内不得搭建仓库或堆放可燃物。建筑内疏散通道和安全出口附近不应堆放货物。</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z w:val="32"/>
          <w:szCs w:val="32"/>
        </w:rPr>
      </w:pPr>
      <w:r>
        <w:rPr>
          <w:rFonts w:hint="eastAsia" w:eastAsia="仿宋_GB2312"/>
          <w:color w:val="000000"/>
          <w:spacing w:val="-6"/>
          <w:sz w:val="32"/>
          <w:szCs w:val="32"/>
        </w:rPr>
        <w:t>（六）电动车宜在室外停放和</w:t>
      </w:r>
      <w:r>
        <w:rPr>
          <w:rFonts w:hint="eastAsia" w:eastAsia="仿宋_GB2312"/>
          <w:color w:val="000000"/>
          <w:sz w:val="32"/>
          <w:szCs w:val="32"/>
        </w:rPr>
        <w:t>充电，当停放在室内时</w:t>
      </w:r>
      <w:r>
        <w:rPr>
          <w:rFonts w:hint="eastAsia" w:eastAsia="仿宋_GB2312"/>
          <w:color w:val="000000"/>
          <w:spacing w:val="-6"/>
          <w:sz w:val="32"/>
          <w:szCs w:val="32"/>
        </w:rPr>
        <w:t>不得停放在楼梯</w:t>
      </w:r>
      <w:r>
        <w:rPr>
          <w:rFonts w:hint="eastAsia" w:eastAsia="仿宋_GB2312"/>
          <w:color w:val="000000"/>
          <w:sz w:val="32"/>
          <w:szCs w:val="32"/>
        </w:rPr>
        <w:t>间、疏散通道、安全出口等部位。</w:t>
      </w:r>
    </w:p>
    <w:p>
      <w:pPr>
        <w:pStyle w:val="2"/>
        <w:keepNext w:val="0"/>
        <w:keepLines w:val="0"/>
        <w:pageBreakBefore w:val="0"/>
        <w:kinsoku/>
        <w:wordWrap/>
        <w:overflowPunct/>
        <w:topLinePunct w:val="0"/>
        <w:bidi w:val="0"/>
        <w:adjustRightInd w:val="0"/>
        <w:snapToGrid w:val="0"/>
        <w:spacing w:after="0" w:line="560" w:lineRule="exact"/>
        <w:ind w:left="0" w:leftChars="0" w:firstLine="640" w:firstLineChars="200"/>
        <w:textAlignment w:val="auto"/>
        <w:outlineLvl w:val="9"/>
        <w:rPr>
          <w:rFonts w:ascii="Times New Roman" w:hAnsi="Times New Roman" w:eastAsia="黑体"/>
          <w:color w:val="000000"/>
          <w:szCs w:val="32"/>
        </w:rPr>
      </w:pPr>
      <w:r>
        <w:rPr>
          <w:rFonts w:hint="eastAsia" w:ascii="Times New Roman" w:eastAsia="黑体"/>
          <w:color w:val="000000"/>
          <w:szCs w:val="32"/>
        </w:rPr>
        <w:t>五、消防安全管理</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bdr w:val="single" w:color="auto" w:sz="4" w:space="0"/>
        </w:rPr>
      </w:pPr>
      <w:r>
        <w:rPr>
          <w:rFonts w:hint="eastAsia" w:eastAsia="仿宋_GB2312"/>
          <w:color w:val="000000"/>
          <w:spacing w:val="-6"/>
          <w:sz w:val="32"/>
          <w:szCs w:val="32"/>
        </w:rPr>
        <w:t>（一）小加工作坊的业主或生产负责人应每日开展防火检查，重点检查安全出口、疏散通道、消防设施和器材，以及用火用电用气、可燃物等安全情况；发生火灾时应组织室内人员及时疏散。</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（二）小加工作坊的业主或生产负责人应对员工开展消防安全教育和培训，员工应知道疏散通道、安全出口和灭火器材的位置；应会报火警、会逃生自救、会使用灭火器材。</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（三）产生高温或使用明火的生产设备在生产使用期间要有专人看管。生产中使用酒精、油漆等危险物品时，应落实管理人并严格操作规程。</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（四）首层安全出口及通向封闭楼梯间、室外楼梯和屋顶平台的出口不应锁闭。可开启外窗不应被封堵、遮挡。</w:t>
      </w:r>
    </w:p>
    <w:p>
      <w:pPr>
        <w:keepNext w:val="0"/>
        <w:keepLines w:val="0"/>
        <w:pageBreakBefore w:val="0"/>
        <w:kinsoku/>
        <w:wordWrap/>
        <w:overflowPunct/>
        <w:topLinePunct w:val="0"/>
        <w:bidi w:val="0"/>
        <w:spacing w:line="560" w:lineRule="exact"/>
        <w:ind w:firstLine="616" w:firstLineChars="200"/>
        <w:textAlignment w:val="auto"/>
        <w:outlineLvl w:val="9"/>
        <w:rPr>
          <w:rFonts w:eastAsia="仿宋_GB2312"/>
          <w:color w:val="000000"/>
          <w:spacing w:val="-6"/>
          <w:sz w:val="32"/>
          <w:szCs w:val="32"/>
        </w:rPr>
      </w:pPr>
      <w:r>
        <w:rPr>
          <w:rFonts w:hint="eastAsia" w:eastAsia="仿宋_GB2312"/>
          <w:color w:val="000000"/>
          <w:spacing w:val="-6"/>
          <w:sz w:val="32"/>
          <w:szCs w:val="32"/>
        </w:rPr>
        <w:t>（五）灭火器等消防设施和器材应完好有效。</w:t>
      </w:r>
    </w:p>
    <w:p>
      <w:pPr>
        <w:keepNext w:val="0"/>
        <w:keepLines w:val="0"/>
        <w:pageBreakBefore w:val="0"/>
        <w:widowControl/>
        <w:kinsoku/>
        <w:wordWrap/>
        <w:overflowPunct/>
        <w:topLinePunct w:val="0"/>
        <w:bidi w:val="0"/>
        <w:spacing w:line="560" w:lineRule="exact"/>
        <w:jc w:val="left"/>
        <w:textAlignment w:val="auto"/>
        <w:outlineLvl w:val="9"/>
        <w:rPr>
          <w:rFonts w:eastAsia="仿宋_GB2312"/>
          <w:sz w:val="30"/>
          <w:szCs w:val="30"/>
        </w:rPr>
        <w:sectPr>
          <w:pgSz w:w="11906" w:h="16838"/>
          <w:pgMar w:top="2098" w:right="1474" w:bottom="1984" w:left="1587" w:header="851" w:footer="1417" w:gutter="0"/>
          <w:pgNumType w:fmt="numberInDash"/>
          <w:cols w:space="720" w:num="1"/>
          <w:rtlGutter w:val="0"/>
          <w:docGrid w:type="lines" w:linePitch="327" w:charSpace="0"/>
        </w:sect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pPr>
    </w:p>
    <w:p>
      <w:pPr>
        <w:widowControl/>
        <w:jc w:val="left"/>
        <w:rPr>
          <w:rFonts w:eastAsia="黑体"/>
          <w:sz w:val="30"/>
          <w:szCs w:val="30"/>
        </w:rPr>
        <w:sectPr>
          <w:headerReference r:id="rId3" w:type="default"/>
          <w:footerReference r:id="rId4" w:type="default"/>
          <w:type w:val="continuous"/>
          <w:pgSz w:w="11906" w:h="16838"/>
          <w:pgMar w:top="2098" w:right="1474" w:bottom="1984" w:left="1587" w:header="851" w:footer="1417" w:gutter="0"/>
          <w:pgNumType w:fmt="numberInDash"/>
          <w:cols w:space="720" w:num="1"/>
          <w:rtlGutter w:val="0"/>
          <w:docGrid w:type="lines" w:linePitch="327" w:charSpace="0"/>
        </w:sectPr>
      </w:pPr>
    </w:p>
    <w:p>
      <w:pPr>
        <w:widowControl/>
        <w:jc w:val="left"/>
        <w:rPr>
          <w:rFonts w:eastAsia="黑体"/>
          <w:sz w:val="30"/>
          <w:szCs w:val="30"/>
        </w:rPr>
      </w:pPr>
      <w:r>
        <w:rPr>
          <w:rFonts w:hint="eastAsia" w:hAnsi="黑体" w:eastAsia="黑体"/>
          <w:sz w:val="30"/>
          <w:szCs w:val="30"/>
        </w:rPr>
        <w:t>附件</w:t>
      </w:r>
      <w:r>
        <w:rPr>
          <w:rFonts w:eastAsia="黑体"/>
          <w:sz w:val="30"/>
          <w:szCs w:val="30"/>
        </w:rPr>
        <w:t>2</w:t>
      </w:r>
      <w:r>
        <w:rPr>
          <w:rFonts w:hint="eastAsia" w:hAnsi="黑体" w:eastAsia="黑体"/>
          <w:sz w:val="30"/>
          <w:szCs w:val="30"/>
        </w:rPr>
        <w:t>：</w:t>
      </w:r>
    </w:p>
    <w:p>
      <w:pPr>
        <w:widowControl/>
        <w:jc w:val="left"/>
        <w:rPr>
          <w:rFonts w:eastAsia="黑体"/>
          <w:sz w:val="30"/>
          <w:szCs w:val="30"/>
        </w:rPr>
      </w:pPr>
    </w:p>
    <w:p>
      <w:pPr>
        <w:widowControl/>
        <w:jc w:val="center"/>
        <w:rPr>
          <w:rFonts w:eastAsia="方正小标宋简体"/>
          <w:sz w:val="48"/>
          <w:szCs w:val="48"/>
        </w:rPr>
      </w:pPr>
      <w:r>
        <w:rPr>
          <w:rFonts w:hint="eastAsia" w:eastAsia="方正小标宋简体"/>
          <w:sz w:val="48"/>
          <w:szCs w:val="48"/>
        </w:rPr>
        <w:t>翔安区工业园区、厂房火灾隐患专项整治排查登记表</w:t>
      </w:r>
    </w:p>
    <w:p>
      <w:pPr>
        <w:widowControl/>
        <w:jc w:val="left"/>
        <w:rPr>
          <w:rFonts w:eastAsia="仿宋_GB2312"/>
          <w:sz w:val="30"/>
          <w:szCs w:val="30"/>
        </w:rPr>
      </w:pPr>
      <w:r>
        <w:rPr>
          <w:rFonts w:hint="eastAsia" w:eastAsia="仿宋_GB2312"/>
          <w:sz w:val="30"/>
          <w:szCs w:val="30"/>
        </w:rPr>
        <w:t>填报单位（盖章）：</w:t>
      </w:r>
      <w:r>
        <w:rPr>
          <w:rFonts w:eastAsia="仿宋_GB2312"/>
          <w:sz w:val="30"/>
          <w:szCs w:val="30"/>
        </w:rPr>
        <w:t xml:space="preserve">                                            </w:t>
      </w:r>
      <w:r>
        <w:rPr>
          <w:rFonts w:hint="eastAsia" w:eastAsia="仿宋_GB2312"/>
          <w:sz w:val="30"/>
          <w:szCs w:val="30"/>
        </w:rPr>
        <w:t>填报时间：</w:t>
      </w:r>
      <w:r>
        <w:rPr>
          <w:rFonts w:eastAsia="仿宋_GB2312"/>
          <w:sz w:val="30"/>
          <w:szCs w:val="30"/>
        </w:rPr>
        <w:t xml:space="preserve">   </w:t>
      </w:r>
      <w:r>
        <w:rPr>
          <w:rFonts w:hint="eastAsia" w:eastAsia="仿宋_GB2312"/>
          <w:sz w:val="30"/>
          <w:szCs w:val="30"/>
        </w:rPr>
        <w:t>年</w:t>
      </w:r>
      <w:r>
        <w:rPr>
          <w:rFonts w:eastAsia="仿宋_GB2312"/>
          <w:sz w:val="30"/>
          <w:szCs w:val="30"/>
        </w:rPr>
        <w:t xml:space="preserve">  </w:t>
      </w:r>
      <w:r>
        <w:rPr>
          <w:rFonts w:hint="eastAsia" w:eastAsia="仿宋_GB2312"/>
          <w:sz w:val="30"/>
          <w:szCs w:val="30"/>
        </w:rPr>
        <w:t>月</w:t>
      </w:r>
      <w:r>
        <w:rPr>
          <w:rFonts w:eastAsia="仿宋_GB2312"/>
          <w:sz w:val="30"/>
          <w:szCs w:val="30"/>
        </w:rPr>
        <w:t xml:space="preserve">  </w:t>
      </w:r>
      <w:r>
        <w:rPr>
          <w:rFonts w:hint="eastAsia" w:eastAsia="仿宋_GB2312"/>
          <w:sz w:val="30"/>
          <w:szCs w:val="30"/>
        </w:rPr>
        <w:t>日</w:t>
      </w:r>
    </w:p>
    <w:tbl>
      <w:tblPr>
        <w:tblStyle w:val="6"/>
        <w:tblW w:w="1394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620"/>
        <w:gridCol w:w="2620"/>
        <w:gridCol w:w="2621"/>
        <w:gridCol w:w="2620"/>
        <w:gridCol w:w="2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center"/>
              <w:rPr>
                <w:rFonts w:eastAsia="仿宋_GB2312"/>
                <w:b/>
                <w:sz w:val="30"/>
                <w:szCs w:val="30"/>
              </w:rPr>
            </w:pPr>
            <w:r>
              <w:rPr>
                <w:rFonts w:hint="eastAsia" w:eastAsia="仿宋_GB2312"/>
                <w:b/>
                <w:sz w:val="30"/>
                <w:szCs w:val="30"/>
              </w:rPr>
              <w:t>序号</w:t>
            </w:r>
          </w:p>
        </w:tc>
        <w:tc>
          <w:tcPr>
            <w:tcW w:w="2620" w:type="dxa"/>
            <w:vAlign w:val="top"/>
          </w:tcPr>
          <w:p>
            <w:pPr>
              <w:widowControl/>
              <w:jc w:val="center"/>
              <w:rPr>
                <w:rFonts w:eastAsia="仿宋_GB2312"/>
                <w:b/>
                <w:sz w:val="30"/>
                <w:szCs w:val="30"/>
              </w:rPr>
            </w:pPr>
            <w:r>
              <w:rPr>
                <w:rFonts w:hint="eastAsia" w:eastAsia="仿宋_GB2312"/>
                <w:b/>
                <w:sz w:val="30"/>
                <w:szCs w:val="30"/>
              </w:rPr>
              <w:t>单位名称</w:t>
            </w:r>
          </w:p>
        </w:tc>
        <w:tc>
          <w:tcPr>
            <w:tcW w:w="2620" w:type="dxa"/>
            <w:vAlign w:val="top"/>
          </w:tcPr>
          <w:p>
            <w:pPr>
              <w:widowControl/>
              <w:jc w:val="center"/>
              <w:rPr>
                <w:rFonts w:eastAsia="仿宋_GB2312"/>
                <w:b/>
                <w:sz w:val="30"/>
                <w:szCs w:val="30"/>
              </w:rPr>
            </w:pPr>
            <w:r>
              <w:rPr>
                <w:rFonts w:hint="eastAsia" w:eastAsia="仿宋_GB2312"/>
                <w:b/>
                <w:sz w:val="30"/>
                <w:szCs w:val="30"/>
              </w:rPr>
              <w:t>单位地址</w:t>
            </w:r>
          </w:p>
        </w:tc>
        <w:tc>
          <w:tcPr>
            <w:tcW w:w="2621" w:type="dxa"/>
            <w:vAlign w:val="top"/>
          </w:tcPr>
          <w:p>
            <w:pPr>
              <w:widowControl/>
              <w:jc w:val="center"/>
              <w:rPr>
                <w:rFonts w:eastAsia="仿宋_GB2312"/>
                <w:b/>
                <w:sz w:val="30"/>
                <w:szCs w:val="30"/>
              </w:rPr>
            </w:pPr>
            <w:r>
              <w:rPr>
                <w:rFonts w:hint="eastAsia" w:eastAsia="仿宋_GB2312"/>
                <w:b/>
                <w:sz w:val="30"/>
                <w:szCs w:val="30"/>
              </w:rPr>
              <w:t>基本情况</w:t>
            </w:r>
          </w:p>
        </w:tc>
        <w:tc>
          <w:tcPr>
            <w:tcW w:w="2620" w:type="dxa"/>
            <w:vAlign w:val="top"/>
          </w:tcPr>
          <w:p>
            <w:pPr>
              <w:widowControl/>
              <w:jc w:val="center"/>
              <w:rPr>
                <w:rFonts w:eastAsia="仿宋_GB2312"/>
                <w:b/>
                <w:sz w:val="30"/>
                <w:szCs w:val="30"/>
              </w:rPr>
            </w:pPr>
            <w:r>
              <w:rPr>
                <w:rFonts w:hint="eastAsia" w:eastAsia="仿宋_GB2312"/>
                <w:b/>
                <w:sz w:val="30"/>
                <w:szCs w:val="30"/>
              </w:rPr>
              <w:t>隐患情况</w:t>
            </w:r>
          </w:p>
        </w:tc>
        <w:tc>
          <w:tcPr>
            <w:tcW w:w="2621" w:type="dxa"/>
            <w:vAlign w:val="top"/>
          </w:tcPr>
          <w:p>
            <w:pPr>
              <w:widowControl/>
              <w:jc w:val="center"/>
              <w:rPr>
                <w:rFonts w:eastAsia="仿宋_GB2312"/>
                <w:b/>
                <w:sz w:val="30"/>
                <w:szCs w:val="30"/>
              </w:rPr>
            </w:pPr>
            <w:r>
              <w:rPr>
                <w:rFonts w:hint="eastAsia" w:eastAsia="仿宋_GB2312"/>
                <w:b/>
                <w:sz w:val="30"/>
                <w:szCs w:val="30"/>
              </w:rPr>
              <w:t>整改情况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center"/>
          </w:tcPr>
          <w:p>
            <w:pPr>
              <w:widowControl/>
              <w:jc w:val="center"/>
              <w:rPr>
                <w:rFonts w:eastAsia="仿宋_GB2312"/>
                <w:sz w:val="24"/>
              </w:rPr>
            </w:pPr>
            <w:r>
              <w:rPr>
                <w:rFonts w:eastAsia="仿宋_GB2312"/>
                <w:sz w:val="24"/>
              </w:rPr>
              <w:t>1</w:t>
            </w:r>
          </w:p>
        </w:tc>
        <w:tc>
          <w:tcPr>
            <w:tcW w:w="2620" w:type="dxa"/>
            <w:vAlign w:val="center"/>
          </w:tcPr>
          <w:p>
            <w:pPr>
              <w:widowControl/>
              <w:jc w:val="left"/>
              <w:rPr>
                <w:rFonts w:eastAsia="仿宋_GB2312"/>
                <w:sz w:val="24"/>
              </w:rPr>
            </w:pPr>
            <w:r>
              <w:rPr>
                <w:rFonts w:hint="eastAsia" w:eastAsia="仿宋_GB2312"/>
                <w:sz w:val="24"/>
              </w:rPr>
              <w:t>厦门市</w:t>
            </w:r>
            <w:r>
              <w:rPr>
                <w:rFonts w:eastAsia="仿宋_GB2312"/>
                <w:sz w:val="24"/>
              </w:rPr>
              <w:t>***</w:t>
            </w:r>
            <w:r>
              <w:rPr>
                <w:rFonts w:hint="eastAsia" w:eastAsia="仿宋_GB2312"/>
                <w:sz w:val="24"/>
              </w:rPr>
              <w:t>有限公司</w:t>
            </w:r>
          </w:p>
        </w:tc>
        <w:tc>
          <w:tcPr>
            <w:tcW w:w="2620" w:type="dxa"/>
            <w:vAlign w:val="center"/>
          </w:tcPr>
          <w:p>
            <w:pPr>
              <w:widowControl/>
              <w:jc w:val="left"/>
              <w:rPr>
                <w:rFonts w:eastAsia="仿宋_GB2312"/>
                <w:sz w:val="24"/>
              </w:rPr>
            </w:pPr>
            <w:r>
              <w:rPr>
                <w:rFonts w:hint="eastAsia" w:eastAsia="仿宋_GB2312"/>
                <w:sz w:val="24"/>
              </w:rPr>
              <w:t>厦门市翔安区</w:t>
            </w:r>
            <w:r>
              <w:rPr>
                <w:rFonts w:eastAsia="仿宋_GB2312"/>
                <w:sz w:val="24"/>
              </w:rPr>
              <w:t>**</w:t>
            </w:r>
            <w:r>
              <w:rPr>
                <w:rFonts w:hint="eastAsia" w:eastAsia="仿宋_GB2312"/>
                <w:sz w:val="24"/>
              </w:rPr>
              <w:t>路</w:t>
            </w:r>
            <w:r>
              <w:rPr>
                <w:rFonts w:eastAsia="仿宋_GB2312"/>
                <w:sz w:val="24"/>
              </w:rPr>
              <w:t>**</w:t>
            </w:r>
            <w:r>
              <w:rPr>
                <w:rFonts w:hint="eastAsia" w:eastAsia="仿宋_GB2312"/>
                <w:sz w:val="24"/>
              </w:rPr>
              <w:t>号</w:t>
            </w:r>
          </w:p>
        </w:tc>
        <w:tc>
          <w:tcPr>
            <w:tcW w:w="2621" w:type="dxa"/>
            <w:vAlign w:val="top"/>
          </w:tcPr>
          <w:p>
            <w:pPr>
              <w:widowControl/>
              <w:jc w:val="left"/>
              <w:rPr>
                <w:rFonts w:eastAsia="Batang"/>
                <w:sz w:val="24"/>
              </w:rPr>
            </w:pPr>
            <w:r>
              <w:rPr>
                <w:rFonts w:hint="eastAsia" w:eastAsia="仿宋_GB2312"/>
                <w:sz w:val="24"/>
              </w:rPr>
              <w:t>该单位所在建筑共</w:t>
            </w:r>
            <w:r>
              <w:rPr>
                <w:rFonts w:eastAsia="仿宋_GB2312"/>
                <w:sz w:val="24"/>
              </w:rPr>
              <w:t>*</w:t>
            </w:r>
            <w:r>
              <w:rPr>
                <w:rFonts w:hint="eastAsia" w:eastAsia="仿宋_GB2312"/>
                <w:sz w:val="24"/>
              </w:rPr>
              <w:t>层，该单位位于</w:t>
            </w:r>
            <w:r>
              <w:rPr>
                <w:rFonts w:eastAsia="仿宋_GB2312"/>
                <w:sz w:val="24"/>
              </w:rPr>
              <w:t>*</w:t>
            </w:r>
            <w:r>
              <w:rPr>
                <w:rFonts w:hint="eastAsia" w:eastAsia="仿宋_GB2312"/>
                <w:sz w:val="24"/>
              </w:rPr>
              <w:t>层，建筑面积约</w:t>
            </w:r>
            <w:r>
              <w:rPr>
                <w:rFonts w:eastAsia="仿宋_GB2312"/>
                <w:sz w:val="24"/>
              </w:rPr>
              <w:t>**</w:t>
            </w:r>
            <w:r>
              <w:rPr>
                <w:rFonts w:hint="eastAsia" w:eastAsia="仿宋_GB2312"/>
                <w:sz w:val="24"/>
              </w:rPr>
              <w:t>平方米，主要从事</w:t>
            </w:r>
            <w:r>
              <w:rPr>
                <w:rFonts w:eastAsia="仿宋_GB2312"/>
                <w:sz w:val="24"/>
              </w:rPr>
              <w:t>**</w:t>
            </w:r>
            <w:r>
              <w:rPr>
                <w:rFonts w:hint="eastAsia" w:eastAsia="仿宋_GB2312"/>
                <w:sz w:val="24"/>
              </w:rPr>
              <w:t>生产</w:t>
            </w:r>
          </w:p>
        </w:tc>
        <w:tc>
          <w:tcPr>
            <w:tcW w:w="2620" w:type="dxa"/>
            <w:vAlign w:val="top"/>
          </w:tcPr>
          <w:p>
            <w:pPr>
              <w:widowControl/>
              <w:jc w:val="left"/>
              <w:rPr>
                <w:rFonts w:eastAsia="仿宋_GB2312"/>
                <w:sz w:val="24"/>
              </w:rPr>
            </w:pPr>
            <w:r>
              <w:rPr>
                <w:rFonts w:eastAsia="仿宋_GB2312"/>
                <w:sz w:val="24"/>
              </w:rPr>
              <w:t>1.</w:t>
            </w:r>
            <w:r>
              <w:rPr>
                <w:rFonts w:hint="eastAsia" w:eastAsia="仿宋_GB2312"/>
                <w:sz w:val="24"/>
              </w:rPr>
              <w:t>生产车间设置住宿场所；</w:t>
            </w:r>
          </w:p>
          <w:p>
            <w:pPr>
              <w:widowControl/>
              <w:jc w:val="left"/>
              <w:rPr>
                <w:rFonts w:eastAsia="仿宋_GB2312"/>
                <w:sz w:val="24"/>
              </w:rPr>
            </w:pPr>
            <w:r>
              <w:rPr>
                <w:rFonts w:eastAsia="仿宋_GB2312"/>
                <w:sz w:val="24"/>
              </w:rPr>
              <w:t>2.</w:t>
            </w:r>
            <w:r>
              <w:rPr>
                <w:rFonts w:hint="eastAsia" w:eastAsia="仿宋_GB2312"/>
                <w:sz w:val="24"/>
              </w:rPr>
              <w:t>未设置室内消火栓；</w:t>
            </w:r>
          </w:p>
          <w:p>
            <w:pPr>
              <w:widowControl/>
              <w:jc w:val="left"/>
              <w:rPr>
                <w:rFonts w:eastAsia="仿宋_GB2312"/>
                <w:sz w:val="24"/>
              </w:rPr>
            </w:pPr>
            <w:r>
              <w:rPr>
                <w:rFonts w:eastAsia="仿宋_GB2312"/>
                <w:sz w:val="24"/>
              </w:rPr>
              <w:t>3.</w:t>
            </w:r>
          </w:p>
        </w:tc>
        <w:tc>
          <w:tcPr>
            <w:tcW w:w="2621" w:type="dxa"/>
            <w:vAlign w:val="top"/>
          </w:tcPr>
          <w:p>
            <w:pPr>
              <w:widowControl/>
              <w:jc w:val="left"/>
              <w:rPr>
                <w:rFonts w:eastAsia="仿宋_GB2312"/>
                <w:sz w:val="24"/>
              </w:rPr>
            </w:pPr>
            <w:r>
              <w:rPr>
                <w:rFonts w:eastAsia="仿宋_GB2312"/>
                <w:sz w:val="24"/>
              </w:rPr>
              <w:t>1.</w:t>
            </w:r>
            <w:r>
              <w:rPr>
                <w:rFonts w:hint="eastAsia" w:eastAsia="仿宋_GB2312"/>
                <w:sz w:val="24"/>
              </w:rPr>
              <w:t>已整改</w:t>
            </w:r>
          </w:p>
          <w:p>
            <w:pPr>
              <w:widowControl/>
              <w:jc w:val="left"/>
              <w:rPr>
                <w:rFonts w:eastAsia="仿宋_GB2312"/>
                <w:sz w:val="24"/>
              </w:rPr>
            </w:pPr>
            <w:r>
              <w:rPr>
                <w:rFonts w:eastAsia="仿宋_GB2312"/>
                <w:sz w:val="24"/>
              </w:rPr>
              <w:t>2.</w:t>
            </w:r>
            <w:r>
              <w:rPr>
                <w:rFonts w:hint="eastAsia" w:eastAsia="仿宋_GB2312"/>
                <w:sz w:val="24"/>
              </w:rPr>
              <w:t>未整改</w:t>
            </w:r>
          </w:p>
          <w:p>
            <w:pPr>
              <w:widowControl/>
              <w:jc w:val="left"/>
              <w:rPr>
                <w:rFonts w:eastAsia="仿宋_GB2312"/>
                <w:sz w:val="24"/>
              </w:rPr>
            </w:pPr>
            <w:r>
              <w:rPr>
                <w:rFonts w:eastAsia="仿宋_GB2312"/>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c>
          <w:tcPr>
            <w:tcW w:w="2620" w:type="dxa"/>
            <w:vAlign w:val="top"/>
          </w:tcPr>
          <w:p>
            <w:pPr>
              <w:widowControl/>
              <w:jc w:val="left"/>
              <w:rPr>
                <w:rFonts w:eastAsia="仿宋_GB2312"/>
                <w:sz w:val="24"/>
              </w:rPr>
            </w:pPr>
          </w:p>
        </w:tc>
        <w:tc>
          <w:tcPr>
            <w:tcW w:w="2621" w:type="dxa"/>
            <w:vAlign w:val="top"/>
          </w:tcPr>
          <w:p>
            <w:pPr>
              <w:widowControl/>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center"/>
          </w:tcPr>
          <w:p>
            <w:pPr>
              <w:widowControl/>
              <w:jc w:val="center"/>
              <w:rPr>
                <w:rFonts w:eastAsia="仿宋_GB2312"/>
                <w:sz w:val="24"/>
              </w:rPr>
            </w:pPr>
          </w:p>
        </w:tc>
        <w:tc>
          <w:tcPr>
            <w:tcW w:w="13102" w:type="dxa"/>
            <w:gridSpan w:val="5"/>
            <w:vAlign w:val="top"/>
          </w:tcPr>
          <w:p>
            <w:pPr>
              <w:widowControl/>
              <w:ind w:firstLine="480" w:firstLineChars="200"/>
              <w:jc w:val="left"/>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46" w:type="dxa"/>
            <w:vAlign w:val="center"/>
          </w:tcPr>
          <w:p>
            <w:pPr>
              <w:widowControl/>
              <w:jc w:val="center"/>
              <w:rPr>
                <w:rFonts w:eastAsia="仿宋_GB2312"/>
                <w:sz w:val="24"/>
              </w:rPr>
            </w:pPr>
          </w:p>
        </w:tc>
        <w:tc>
          <w:tcPr>
            <w:tcW w:w="13102" w:type="dxa"/>
            <w:gridSpan w:val="5"/>
            <w:vAlign w:val="top"/>
          </w:tcPr>
          <w:p>
            <w:pPr>
              <w:widowControl/>
              <w:ind w:firstLine="480" w:firstLineChars="200"/>
              <w:jc w:val="left"/>
              <w:rPr>
                <w:rFonts w:eastAsia="仿宋_GB2312"/>
                <w:sz w:val="24"/>
              </w:rPr>
            </w:pPr>
          </w:p>
        </w:tc>
      </w:tr>
    </w:tbl>
    <w:p>
      <w:pPr>
        <w:spacing w:line="520" w:lineRule="exact"/>
        <w:rPr>
          <w:rFonts w:eastAsia="仿宋_GB2312"/>
          <w:sz w:val="30"/>
          <w:szCs w:val="30"/>
        </w:rPr>
        <w:sectPr>
          <w:type w:val="continuous"/>
          <w:pgSz w:w="16838" w:h="11906" w:orient="landscape"/>
          <w:pgMar w:top="1587" w:right="2098" w:bottom="1474" w:left="1984" w:header="851" w:footer="1417" w:gutter="0"/>
          <w:pgNumType w:fmt="numberInDash"/>
          <w:cols w:space="720" w:num="1"/>
          <w:rtlGutter w:val="0"/>
          <w:docGrid w:type="lines" w:linePitch="327" w:charSpace="0"/>
        </w:sectPr>
      </w:pPr>
    </w:p>
    <w:p>
      <w:pPr>
        <w:adjustRightInd w:val="0"/>
        <w:snapToGrid w:val="0"/>
        <w:spacing w:line="300" w:lineRule="auto"/>
        <w:rPr>
          <w:rFonts w:hint="eastAsia" w:ascii="黑体" w:hAnsi="黑体" w:eastAsia="黑体" w:cs="黑体"/>
          <w:sz w:val="32"/>
          <w:szCs w:val="32"/>
        </w:rPr>
      </w:pPr>
      <w:r>
        <w:rPr>
          <w:rFonts w:hint="eastAsia" w:ascii="黑体" w:hAnsi="黑体" w:eastAsia="黑体" w:cs="黑体"/>
          <w:sz w:val="32"/>
          <w:szCs w:val="32"/>
        </w:rPr>
        <w:t>附件3：</w:t>
      </w:r>
    </w:p>
    <w:p>
      <w:pPr>
        <w:adjustRightInd w:val="0"/>
        <w:snapToGrid w:val="0"/>
        <w:spacing w:line="300" w:lineRule="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spacing w:line="640" w:lineRule="exact"/>
        <w:ind w:left="0" w:leftChars="0" w:right="0" w:rightChars="0" w:firstLine="0" w:firstLineChars="0"/>
        <w:jc w:val="center"/>
        <w:textAlignment w:val="auto"/>
        <w:outlineLvl w:val="9"/>
        <w:rPr>
          <w:rFonts w:eastAsia="方正小标宋简体"/>
          <w:spacing w:val="-14"/>
          <w:sz w:val="44"/>
          <w:szCs w:val="44"/>
        </w:rPr>
      </w:pPr>
      <w:r>
        <w:rPr>
          <w:rFonts w:hint="eastAsia" w:eastAsia="方正小标宋简体"/>
          <w:spacing w:val="-14"/>
          <w:sz w:val="44"/>
          <w:szCs w:val="44"/>
        </w:rPr>
        <w:t>翔安区应急管理局易燃易爆危险化学品</w:t>
      </w:r>
    </w:p>
    <w:p>
      <w:pPr>
        <w:keepNext w:val="0"/>
        <w:keepLines w:val="0"/>
        <w:pageBreakBefore w:val="0"/>
        <w:widowControl w:val="0"/>
        <w:kinsoku/>
        <w:wordWrap/>
        <w:overflowPunct/>
        <w:topLinePunct w:val="0"/>
        <w:autoSpaceDE/>
        <w:autoSpaceDN/>
        <w:bidi w:val="0"/>
        <w:adjustRightInd/>
        <w:snapToGrid/>
        <w:spacing w:line="640" w:lineRule="exact"/>
        <w:ind w:left="0" w:leftChars="0" w:right="0" w:rightChars="0" w:firstLine="0" w:firstLineChars="0"/>
        <w:jc w:val="center"/>
        <w:textAlignment w:val="auto"/>
        <w:outlineLvl w:val="9"/>
        <w:rPr>
          <w:rFonts w:eastAsia="方正小标宋简体"/>
          <w:sz w:val="44"/>
          <w:szCs w:val="44"/>
        </w:rPr>
      </w:pPr>
      <w:r>
        <w:rPr>
          <w:rFonts w:hint="eastAsia" w:eastAsia="方正小标宋简体"/>
          <w:spacing w:val="-14"/>
          <w:sz w:val="44"/>
          <w:szCs w:val="44"/>
        </w:rPr>
        <w:t>生产、经营单位火灾隐患整治重点</w:t>
      </w:r>
      <w:r>
        <w:rPr>
          <w:rFonts w:hint="eastAsia" w:hAnsi="方正小标宋简体" w:eastAsia="方正小标宋简体"/>
          <w:sz w:val="44"/>
          <w:szCs w:val="44"/>
        </w:rPr>
        <w:t>自查表</w:t>
      </w:r>
    </w:p>
    <w:p>
      <w:pPr>
        <w:jc w:val="left"/>
        <w:rPr>
          <w:rFonts w:eastAsia="楷体_GB2312"/>
          <w:b/>
          <w:bCs/>
          <w:spacing w:val="-20"/>
          <w:szCs w:val="21"/>
        </w:rPr>
      </w:pPr>
      <w:r>
        <w:rPr>
          <w:rFonts w:hint="eastAsia" w:hAnsi="楷体_GB2312" w:eastAsia="楷体_GB2312"/>
          <w:sz w:val="24"/>
        </w:rPr>
        <w:t>单位名称（盖章）：</w:t>
      </w:r>
      <w:r>
        <w:rPr>
          <w:rFonts w:eastAsia="楷体_GB2312"/>
          <w:sz w:val="24"/>
        </w:rPr>
        <w:t xml:space="preserve"> </w:t>
      </w:r>
      <w:r>
        <w:rPr>
          <w:rFonts w:eastAsia="楷体_GB2312"/>
          <w:b/>
          <w:bCs/>
          <w:spacing w:val="-20"/>
          <w:sz w:val="22"/>
          <w:szCs w:val="22"/>
        </w:rPr>
        <w:t xml:space="preserve">                                                                          </w:t>
      </w:r>
      <w:r>
        <w:rPr>
          <w:rFonts w:eastAsia="楷体_GB2312"/>
          <w:spacing w:val="-20"/>
          <w:sz w:val="22"/>
          <w:szCs w:val="22"/>
        </w:rPr>
        <w:t xml:space="preserve">     </w:t>
      </w:r>
      <w:r>
        <w:rPr>
          <w:rFonts w:hint="eastAsia" w:hAnsi="楷体_GB2312" w:eastAsia="楷体_GB2312"/>
          <w:spacing w:val="-20"/>
          <w:sz w:val="22"/>
          <w:szCs w:val="22"/>
        </w:rPr>
        <w:t>年</w:t>
      </w:r>
      <w:r>
        <w:rPr>
          <w:rFonts w:eastAsia="楷体_GB2312"/>
          <w:spacing w:val="-20"/>
          <w:sz w:val="22"/>
          <w:szCs w:val="22"/>
        </w:rPr>
        <w:t xml:space="preserve">     </w:t>
      </w:r>
      <w:r>
        <w:rPr>
          <w:rFonts w:hint="eastAsia" w:hAnsi="楷体_GB2312" w:eastAsia="楷体_GB2312"/>
          <w:spacing w:val="-20"/>
          <w:sz w:val="22"/>
          <w:szCs w:val="22"/>
        </w:rPr>
        <w:t>月</w:t>
      </w:r>
      <w:r>
        <w:rPr>
          <w:rFonts w:eastAsia="楷体_GB2312"/>
          <w:spacing w:val="-20"/>
          <w:sz w:val="22"/>
          <w:szCs w:val="22"/>
        </w:rPr>
        <w:t xml:space="preserve">     </w:t>
      </w:r>
      <w:r>
        <w:rPr>
          <w:rFonts w:hint="eastAsia" w:hAnsi="楷体_GB2312" w:eastAsia="楷体_GB2312"/>
          <w:spacing w:val="-20"/>
          <w:sz w:val="22"/>
          <w:szCs w:val="22"/>
        </w:rPr>
        <w:t>日</w:t>
      </w:r>
      <w:r>
        <w:rPr>
          <w:rFonts w:eastAsia="楷体_GB2312"/>
          <w:b/>
          <w:bCs/>
          <w:spacing w:val="-20"/>
          <w:sz w:val="22"/>
          <w:szCs w:val="22"/>
        </w:rPr>
        <w:t xml:space="preserve">        </w:t>
      </w:r>
      <w:r>
        <w:rPr>
          <w:rFonts w:eastAsia="楷体_GB2312"/>
          <w:b/>
          <w:bCs/>
          <w:spacing w:val="-20"/>
          <w:szCs w:val="21"/>
        </w:rPr>
        <w:t xml:space="preserve">                                                                             </w:t>
      </w:r>
    </w:p>
    <w:tbl>
      <w:tblPr>
        <w:tblStyle w:val="6"/>
        <w:tblW w:w="10032" w:type="dxa"/>
        <w:jc w:val="center"/>
        <w:tblInd w:w="-8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2"/>
        <w:gridCol w:w="2296"/>
        <w:gridCol w:w="1872"/>
        <w:gridCol w:w="657"/>
        <w:gridCol w:w="1125"/>
        <w:gridCol w:w="975"/>
        <w:gridCol w:w="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0" w:hRule="exact"/>
          <w:tblHeader/>
          <w:jc w:val="center"/>
        </w:trPr>
        <w:tc>
          <w:tcPr>
            <w:tcW w:w="2132" w:type="dxa"/>
            <w:vAlign w:val="center"/>
          </w:tcPr>
          <w:p>
            <w:pPr>
              <w:jc w:val="center"/>
              <w:rPr>
                <w:rFonts w:eastAsia="仿宋_GB2312"/>
                <w:b/>
                <w:bCs/>
                <w:szCs w:val="21"/>
              </w:rPr>
            </w:pPr>
            <w:r>
              <w:rPr>
                <w:rFonts w:hint="eastAsia" w:hAnsi="仿宋_GB2312" w:eastAsia="仿宋_GB2312"/>
                <w:b/>
                <w:bCs/>
                <w:szCs w:val="21"/>
              </w:rPr>
              <w:t>检</w:t>
            </w:r>
            <w:r>
              <w:rPr>
                <w:rFonts w:eastAsia="仿宋_GB2312"/>
                <w:b/>
                <w:bCs/>
                <w:szCs w:val="21"/>
              </w:rPr>
              <w:t xml:space="preserve"> </w:t>
            </w:r>
            <w:r>
              <w:rPr>
                <w:rFonts w:hint="eastAsia" w:hAnsi="仿宋_GB2312" w:eastAsia="仿宋_GB2312"/>
                <w:b/>
                <w:bCs/>
                <w:szCs w:val="21"/>
              </w:rPr>
              <w:t>查</w:t>
            </w:r>
            <w:r>
              <w:rPr>
                <w:rFonts w:eastAsia="仿宋_GB2312"/>
                <w:b/>
                <w:bCs/>
                <w:szCs w:val="21"/>
              </w:rPr>
              <w:t xml:space="preserve"> </w:t>
            </w:r>
            <w:r>
              <w:rPr>
                <w:rFonts w:hint="eastAsia" w:hAnsi="仿宋_GB2312" w:eastAsia="仿宋_GB2312"/>
                <w:b/>
                <w:bCs/>
                <w:szCs w:val="21"/>
              </w:rPr>
              <w:t>项</w:t>
            </w:r>
            <w:r>
              <w:rPr>
                <w:rFonts w:eastAsia="仿宋_GB2312"/>
                <w:b/>
                <w:bCs/>
                <w:szCs w:val="21"/>
              </w:rPr>
              <w:t xml:space="preserve"> </w:t>
            </w:r>
            <w:r>
              <w:rPr>
                <w:rFonts w:hint="eastAsia" w:hAnsi="仿宋_GB2312" w:eastAsia="仿宋_GB2312"/>
                <w:b/>
                <w:bCs/>
                <w:szCs w:val="21"/>
              </w:rPr>
              <w:t>目</w:t>
            </w:r>
          </w:p>
        </w:tc>
        <w:tc>
          <w:tcPr>
            <w:tcW w:w="4825" w:type="dxa"/>
            <w:gridSpan w:val="3"/>
            <w:vAlign w:val="center"/>
          </w:tcPr>
          <w:p>
            <w:pPr>
              <w:jc w:val="center"/>
              <w:rPr>
                <w:rFonts w:eastAsia="仿宋_GB2312"/>
                <w:b/>
                <w:bCs/>
                <w:szCs w:val="21"/>
              </w:rPr>
            </w:pPr>
            <w:r>
              <w:rPr>
                <w:rFonts w:hint="eastAsia" w:hAnsi="仿宋_GB2312" w:eastAsia="仿宋_GB2312"/>
                <w:b/>
                <w:bCs/>
                <w:szCs w:val="21"/>
              </w:rPr>
              <w:t>检</w:t>
            </w:r>
            <w:r>
              <w:rPr>
                <w:rFonts w:eastAsia="仿宋_GB2312"/>
                <w:b/>
                <w:bCs/>
                <w:szCs w:val="21"/>
              </w:rPr>
              <w:t xml:space="preserve">  </w:t>
            </w:r>
            <w:r>
              <w:rPr>
                <w:rFonts w:hint="eastAsia" w:hAnsi="仿宋_GB2312" w:eastAsia="仿宋_GB2312"/>
                <w:b/>
                <w:bCs/>
                <w:szCs w:val="21"/>
              </w:rPr>
              <w:t>查</w:t>
            </w:r>
            <w:r>
              <w:rPr>
                <w:rFonts w:eastAsia="仿宋_GB2312"/>
                <w:b/>
                <w:bCs/>
                <w:szCs w:val="21"/>
              </w:rPr>
              <w:t xml:space="preserve">  </w:t>
            </w:r>
            <w:r>
              <w:rPr>
                <w:rFonts w:hint="eastAsia" w:hAnsi="仿宋_GB2312" w:eastAsia="仿宋_GB2312"/>
                <w:b/>
                <w:bCs/>
                <w:szCs w:val="21"/>
              </w:rPr>
              <w:t>的</w:t>
            </w:r>
            <w:r>
              <w:rPr>
                <w:rFonts w:eastAsia="仿宋_GB2312"/>
                <w:b/>
                <w:bCs/>
                <w:szCs w:val="21"/>
              </w:rPr>
              <w:t xml:space="preserve">  </w:t>
            </w:r>
            <w:r>
              <w:rPr>
                <w:rFonts w:hint="eastAsia" w:hAnsi="仿宋_GB2312" w:eastAsia="仿宋_GB2312"/>
                <w:b/>
                <w:bCs/>
                <w:szCs w:val="21"/>
              </w:rPr>
              <w:t>具</w:t>
            </w:r>
            <w:r>
              <w:rPr>
                <w:rFonts w:eastAsia="仿宋_GB2312"/>
                <w:b/>
                <w:bCs/>
                <w:szCs w:val="21"/>
              </w:rPr>
              <w:t xml:space="preserve">  </w:t>
            </w:r>
            <w:r>
              <w:rPr>
                <w:rFonts w:hint="eastAsia" w:hAnsi="仿宋_GB2312" w:eastAsia="仿宋_GB2312"/>
                <w:b/>
                <w:bCs/>
                <w:szCs w:val="21"/>
              </w:rPr>
              <w:t>体</w:t>
            </w:r>
            <w:r>
              <w:rPr>
                <w:rFonts w:eastAsia="仿宋_GB2312"/>
                <w:b/>
                <w:bCs/>
                <w:szCs w:val="21"/>
              </w:rPr>
              <w:t xml:space="preserve">  </w:t>
            </w:r>
            <w:r>
              <w:rPr>
                <w:rFonts w:hint="eastAsia" w:hAnsi="仿宋_GB2312" w:eastAsia="仿宋_GB2312"/>
                <w:b/>
                <w:bCs/>
                <w:szCs w:val="21"/>
              </w:rPr>
              <w:t>内</w:t>
            </w:r>
            <w:r>
              <w:rPr>
                <w:rFonts w:eastAsia="仿宋_GB2312"/>
                <w:b/>
                <w:bCs/>
                <w:szCs w:val="21"/>
              </w:rPr>
              <w:t xml:space="preserve">  </w:t>
            </w:r>
            <w:r>
              <w:rPr>
                <w:rFonts w:hint="eastAsia" w:hAnsi="仿宋_GB2312" w:eastAsia="仿宋_GB2312"/>
                <w:b/>
                <w:bCs/>
                <w:szCs w:val="21"/>
              </w:rPr>
              <w:t>容</w:t>
            </w:r>
          </w:p>
        </w:tc>
        <w:tc>
          <w:tcPr>
            <w:tcW w:w="1125" w:type="dxa"/>
            <w:vAlign w:val="center"/>
          </w:tcPr>
          <w:p>
            <w:pPr>
              <w:jc w:val="center"/>
              <w:rPr>
                <w:rFonts w:eastAsia="仿宋_GB2312"/>
                <w:b/>
                <w:bCs/>
                <w:szCs w:val="21"/>
              </w:rPr>
            </w:pPr>
            <w:r>
              <w:rPr>
                <w:rFonts w:hint="eastAsia" w:hAnsi="仿宋_GB2312" w:eastAsia="仿宋_GB2312"/>
                <w:b/>
                <w:bCs/>
                <w:szCs w:val="21"/>
              </w:rPr>
              <w:t>检</w:t>
            </w:r>
            <w:r>
              <w:rPr>
                <w:rFonts w:eastAsia="仿宋_GB2312"/>
                <w:b/>
                <w:bCs/>
                <w:szCs w:val="21"/>
              </w:rPr>
              <w:t xml:space="preserve"> </w:t>
            </w:r>
            <w:r>
              <w:rPr>
                <w:rFonts w:hint="eastAsia" w:hAnsi="仿宋_GB2312" w:eastAsia="仿宋_GB2312"/>
                <w:b/>
                <w:bCs/>
                <w:szCs w:val="21"/>
              </w:rPr>
              <w:t>查</w:t>
            </w:r>
          </w:p>
          <w:p>
            <w:pPr>
              <w:jc w:val="center"/>
              <w:rPr>
                <w:rFonts w:eastAsia="仿宋_GB2312"/>
                <w:b/>
                <w:bCs/>
                <w:szCs w:val="21"/>
              </w:rPr>
            </w:pPr>
            <w:r>
              <w:rPr>
                <w:rFonts w:hint="eastAsia" w:hAnsi="仿宋_GB2312" w:eastAsia="仿宋_GB2312"/>
                <w:b/>
                <w:bCs/>
                <w:szCs w:val="21"/>
              </w:rPr>
              <w:t>结</w:t>
            </w:r>
            <w:r>
              <w:rPr>
                <w:rFonts w:eastAsia="仿宋_GB2312"/>
                <w:b/>
                <w:bCs/>
                <w:szCs w:val="21"/>
              </w:rPr>
              <w:t xml:space="preserve"> </w:t>
            </w:r>
            <w:r>
              <w:rPr>
                <w:rFonts w:hint="eastAsia" w:hAnsi="仿宋_GB2312" w:eastAsia="仿宋_GB2312"/>
                <w:b/>
                <w:bCs/>
                <w:szCs w:val="21"/>
              </w:rPr>
              <w:t>果</w:t>
            </w:r>
          </w:p>
        </w:tc>
        <w:tc>
          <w:tcPr>
            <w:tcW w:w="975" w:type="dxa"/>
            <w:vAlign w:val="center"/>
          </w:tcPr>
          <w:p>
            <w:pPr>
              <w:jc w:val="center"/>
              <w:rPr>
                <w:rFonts w:eastAsia="仿宋_GB2312"/>
                <w:b/>
                <w:bCs/>
                <w:szCs w:val="21"/>
              </w:rPr>
            </w:pPr>
            <w:r>
              <w:rPr>
                <w:rFonts w:hint="eastAsia" w:hAnsi="仿宋_GB2312" w:eastAsia="仿宋_GB2312"/>
                <w:b/>
                <w:bCs/>
                <w:szCs w:val="21"/>
              </w:rPr>
              <w:t>整改</w:t>
            </w:r>
          </w:p>
          <w:p>
            <w:pPr>
              <w:jc w:val="center"/>
              <w:rPr>
                <w:rFonts w:eastAsia="仿宋_GB2312"/>
                <w:b/>
                <w:bCs/>
                <w:szCs w:val="21"/>
              </w:rPr>
            </w:pPr>
            <w:r>
              <w:rPr>
                <w:rFonts w:hint="eastAsia" w:hAnsi="仿宋_GB2312" w:eastAsia="仿宋_GB2312"/>
                <w:b/>
                <w:bCs/>
                <w:szCs w:val="21"/>
              </w:rPr>
              <w:t>时限</w:t>
            </w:r>
          </w:p>
        </w:tc>
        <w:tc>
          <w:tcPr>
            <w:tcW w:w="975" w:type="dxa"/>
            <w:vAlign w:val="top"/>
          </w:tcPr>
          <w:p>
            <w:pPr>
              <w:jc w:val="center"/>
              <w:rPr>
                <w:rFonts w:eastAsia="仿宋_GB2312"/>
                <w:b/>
                <w:bCs/>
                <w:szCs w:val="21"/>
              </w:rPr>
            </w:pPr>
            <w:r>
              <w:rPr>
                <w:rFonts w:hint="eastAsia" w:hAnsi="仿宋_GB2312" w:eastAsia="仿宋_GB2312"/>
                <w:b/>
                <w:bCs/>
                <w:szCs w:val="21"/>
              </w:rPr>
              <w:t>整改</w:t>
            </w:r>
          </w:p>
          <w:p>
            <w:pPr>
              <w:jc w:val="center"/>
              <w:rPr>
                <w:rFonts w:eastAsia="仿宋_GB2312"/>
                <w:b/>
                <w:bCs/>
                <w:szCs w:val="21"/>
              </w:rPr>
            </w:pPr>
            <w:r>
              <w:rPr>
                <w:rFonts w:hint="eastAsia" w:hAnsi="仿宋_GB2312" w:eastAsia="仿宋_GB2312"/>
                <w:b/>
                <w:bCs/>
                <w:szCs w:val="21"/>
              </w:rPr>
              <w:t>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restart"/>
            <w:vAlign w:val="center"/>
          </w:tcPr>
          <w:p>
            <w:pPr>
              <w:adjustRightInd w:val="0"/>
              <w:snapToGrid w:val="0"/>
              <w:jc w:val="center"/>
              <w:rPr>
                <w:rFonts w:eastAsia="仿宋_GB2312"/>
                <w:spacing w:val="-20"/>
                <w:szCs w:val="21"/>
              </w:rPr>
            </w:pPr>
            <w:r>
              <w:rPr>
                <w:rFonts w:hint="eastAsia" w:hAnsi="仿宋_GB2312" w:eastAsia="仿宋_GB2312"/>
                <w:szCs w:val="21"/>
              </w:rPr>
              <w:t>消防水源不足</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消防水源布置不合理</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2.</w:t>
            </w:r>
            <w:r>
              <w:rPr>
                <w:rFonts w:hint="eastAsia" w:hAnsi="仿宋_GB2312" w:eastAsia="仿宋_GB2312"/>
                <w:szCs w:val="21"/>
              </w:rPr>
              <w:t>市政消防管网未布置到最末一端</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ind w:firstLine="170" w:firstLineChars="100"/>
              <w:jc w:val="center"/>
              <w:rPr>
                <w:rFonts w:eastAsia="仿宋_GB2312"/>
                <w:spacing w:val="-20"/>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3.</w:t>
            </w:r>
            <w:r>
              <w:rPr>
                <w:rFonts w:hint="eastAsia" w:hAnsi="仿宋_GB2312" w:eastAsia="仿宋_GB2312"/>
                <w:szCs w:val="21"/>
              </w:rPr>
              <w:t>消火栓压力不足</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tcBorders>
              <w:top w:val="nil"/>
            </w:tcBorders>
            <w:vAlign w:val="center"/>
          </w:tcPr>
          <w:p>
            <w:pPr>
              <w:adjustRightInd w:val="0"/>
              <w:snapToGrid w:val="0"/>
              <w:jc w:val="center"/>
              <w:rPr>
                <w:rFonts w:eastAsia="仿宋_GB2312"/>
                <w:szCs w:val="21"/>
              </w:rPr>
            </w:pPr>
            <w:r>
              <w:rPr>
                <w:rFonts w:hint="eastAsia" w:hAnsi="仿宋_GB2312" w:eastAsia="仿宋_GB2312"/>
                <w:szCs w:val="21"/>
              </w:rPr>
              <w:t>消防车道未保持畅通</w:t>
            </w:r>
          </w:p>
        </w:tc>
        <w:tc>
          <w:tcPr>
            <w:tcW w:w="4825" w:type="dxa"/>
            <w:gridSpan w:val="3"/>
            <w:tcBorders>
              <w:top w:val="nil"/>
            </w:tcBorders>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违章停车及违章搭建占用消防车道</w:t>
            </w:r>
          </w:p>
        </w:tc>
        <w:tc>
          <w:tcPr>
            <w:tcW w:w="1125" w:type="dxa"/>
            <w:tcBorders>
              <w:top w:val="nil"/>
            </w:tcBorders>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Align w:val="center"/>
          </w:tcPr>
          <w:p>
            <w:pPr>
              <w:adjustRightInd w:val="0"/>
              <w:snapToGrid w:val="0"/>
              <w:jc w:val="center"/>
              <w:rPr>
                <w:rFonts w:eastAsia="仿宋_GB2312"/>
                <w:szCs w:val="21"/>
              </w:rPr>
            </w:pPr>
            <w:r>
              <w:rPr>
                <w:rFonts w:hint="eastAsia" w:hAnsi="仿宋_GB2312" w:eastAsia="仿宋_GB2312"/>
                <w:szCs w:val="21"/>
              </w:rPr>
              <w:t>疏散通道不畅通</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厂房疏散通道、安全出口数量不足或者被封闭、堵塞、占用</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Align w:val="center"/>
          </w:tcPr>
          <w:p>
            <w:pPr>
              <w:adjustRightInd w:val="0"/>
              <w:snapToGrid w:val="0"/>
              <w:jc w:val="center"/>
              <w:rPr>
                <w:rFonts w:eastAsia="仿宋_GB2312"/>
                <w:szCs w:val="21"/>
              </w:rPr>
            </w:pPr>
            <w:r>
              <w:rPr>
                <w:rFonts w:hint="eastAsia" w:hAnsi="仿宋_GB2312" w:eastAsia="仿宋_GB2312"/>
                <w:szCs w:val="21"/>
              </w:rPr>
              <w:t>违规存放易燃易爆危险品</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劳动密集型企业生产车间等场所超量存放易燃易爆原材料或者半成品</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restart"/>
            <w:vAlign w:val="center"/>
          </w:tcPr>
          <w:p>
            <w:pPr>
              <w:adjustRightInd w:val="0"/>
              <w:snapToGrid w:val="0"/>
              <w:jc w:val="center"/>
              <w:rPr>
                <w:rFonts w:eastAsia="仿宋_GB2312"/>
                <w:szCs w:val="21"/>
              </w:rPr>
            </w:pPr>
            <w:r>
              <w:rPr>
                <w:rFonts w:hint="eastAsia" w:hAnsi="仿宋_GB2312" w:eastAsia="仿宋_GB2312"/>
                <w:szCs w:val="21"/>
              </w:rPr>
              <w:t>防火分隔不到位</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厂房防火隔墙、防火卷帘、防火门等防火分隔设施缺失或者损坏</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2.</w:t>
            </w:r>
            <w:r>
              <w:rPr>
                <w:rFonts w:hint="eastAsia" w:hAnsi="仿宋_GB2312" w:eastAsia="仿宋_GB2312"/>
                <w:szCs w:val="21"/>
              </w:rPr>
              <w:t>楼梯间、前室常闭式防火门常开</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3.</w:t>
            </w:r>
            <w:r>
              <w:rPr>
                <w:rFonts w:hint="eastAsia" w:hAnsi="仿宋_GB2312" w:eastAsia="仿宋_GB2312"/>
                <w:szCs w:val="21"/>
              </w:rPr>
              <w:t>门窗孔洞、竖向管道井每层楼板处封堵不严密</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Align w:val="center"/>
          </w:tcPr>
          <w:p>
            <w:pPr>
              <w:adjustRightInd w:val="0"/>
              <w:snapToGrid w:val="0"/>
              <w:jc w:val="center"/>
              <w:rPr>
                <w:rFonts w:eastAsia="仿宋_GB2312"/>
                <w:szCs w:val="21"/>
              </w:rPr>
            </w:pPr>
            <w:r>
              <w:rPr>
                <w:rFonts w:eastAsia="仿宋_GB2312"/>
                <w:szCs w:val="21"/>
              </w:rPr>
              <w:t>“</w:t>
            </w:r>
            <w:r>
              <w:rPr>
                <w:rFonts w:hint="eastAsia" w:hAnsi="仿宋_GB2312" w:eastAsia="仿宋_GB2312"/>
                <w:szCs w:val="21"/>
              </w:rPr>
              <w:t>三合一</w:t>
            </w:r>
            <w:r>
              <w:rPr>
                <w:rFonts w:eastAsia="仿宋_GB2312"/>
                <w:szCs w:val="21"/>
              </w:rPr>
              <w:t>”</w:t>
            </w:r>
            <w:r>
              <w:rPr>
                <w:rFonts w:hint="eastAsia" w:hAnsi="仿宋_GB2312" w:eastAsia="仿宋_GB2312"/>
                <w:szCs w:val="21"/>
              </w:rPr>
              <w:t>现象</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厂房存在住宿与生产、经营设置于同一建筑内，不符合消防技术标准现象</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restart"/>
            <w:vAlign w:val="center"/>
          </w:tcPr>
          <w:p>
            <w:pPr>
              <w:adjustRightInd w:val="0"/>
              <w:snapToGrid w:val="0"/>
              <w:jc w:val="center"/>
              <w:rPr>
                <w:rFonts w:eastAsia="仿宋_GB2312"/>
                <w:szCs w:val="21"/>
              </w:rPr>
            </w:pPr>
            <w:r>
              <w:rPr>
                <w:rFonts w:hint="eastAsia" w:hAnsi="仿宋_GB2312" w:eastAsia="仿宋_GB2312"/>
                <w:szCs w:val="21"/>
              </w:rPr>
              <w:t>消防设施损坏停用</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火灾自动报警系统停用或者不能正常运行</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2.</w:t>
            </w:r>
            <w:r>
              <w:rPr>
                <w:rFonts w:hint="eastAsia" w:hAnsi="仿宋_GB2312" w:eastAsia="仿宋_GB2312"/>
                <w:szCs w:val="21"/>
              </w:rPr>
              <w:t>消防水泵控制柜处于手动控制状态</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3.</w:t>
            </w:r>
            <w:r>
              <w:rPr>
                <w:rFonts w:hint="eastAsia" w:hAnsi="仿宋_GB2312" w:eastAsia="仿宋_GB2312"/>
                <w:szCs w:val="21"/>
              </w:rPr>
              <w:t>自动喷水灭火系统、防火卷帘、机械防排烟等消防设施不能正常联动</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4.</w:t>
            </w:r>
            <w:r>
              <w:rPr>
                <w:rFonts w:hint="eastAsia" w:hAnsi="仿宋_GB2312" w:eastAsia="仿宋_GB2312"/>
                <w:szCs w:val="21"/>
              </w:rPr>
              <w:t>消火栓、自动喷水灭火系统不能正常供水</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Align w:val="center"/>
          </w:tcPr>
          <w:p>
            <w:pPr>
              <w:adjustRightInd w:val="0"/>
              <w:snapToGrid w:val="0"/>
              <w:jc w:val="center"/>
              <w:rPr>
                <w:rFonts w:eastAsia="仿宋_GB2312"/>
                <w:szCs w:val="21"/>
              </w:rPr>
            </w:pPr>
            <w:r>
              <w:rPr>
                <w:rFonts w:hint="eastAsia" w:hAnsi="仿宋_GB2312" w:eastAsia="仿宋_GB2312"/>
                <w:szCs w:val="21"/>
              </w:rPr>
              <w:t>未设置消防设施</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厂房、仓库未按消防技术标准设置火灾自动报警系统、自动喷水灭火系统、室内消火栓等消防设施</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restart"/>
            <w:vAlign w:val="center"/>
          </w:tcPr>
          <w:p>
            <w:pPr>
              <w:adjustRightInd w:val="0"/>
              <w:snapToGrid w:val="0"/>
              <w:jc w:val="center"/>
              <w:rPr>
                <w:rFonts w:eastAsia="仿宋_GB2312"/>
                <w:szCs w:val="21"/>
              </w:rPr>
            </w:pPr>
            <w:r>
              <w:rPr>
                <w:rFonts w:hint="eastAsia" w:hAnsi="仿宋_GB2312" w:eastAsia="仿宋_GB2312"/>
                <w:szCs w:val="21"/>
              </w:rPr>
              <w:t>电动自行车违规停放充电</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电动自行车停放在厂房门厅、楼梯间、走道等区域</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2.</w:t>
            </w:r>
            <w:r>
              <w:rPr>
                <w:rFonts w:hint="eastAsia" w:hAnsi="仿宋_GB2312" w:eastAsia="仿宋_GB2312"/>
                <w:szCs w:val="21"/>
              </w:rPr>
              <w:t>停放位置与周围可燃物未落实防火措施</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3.</w:t>
            </w:r>
            <w:r>
              <w:rPr>
                <w:rFonts w:hint="eastAsia" w:hAnsi="仿宋_GB2312" w:eastAsia="仿宋_GB2312"/>
                <w:szCs w:val="21"/>
              </w:rPr>
              <w:t>采取</w:t>
            </w:r>
            <w:r>
              <w:rPr>
                <w:rFonts w:eastAsia="仿宋_GB2312"/>
                <w:szCs w:val="21"/>
              </w:rPr>
              <w:t>“</w:t>
            </w:r>
            <w:r>
              <w:rPr>
                <w:rFonts w:hint="eastAsia" w:hAnsi="仿宋_GB2312" w:eastAsia="仿宋_GB2312"/>
                <w:szCs w:val="21"/>
              </w:rPr>
              <w:t>飞线</w:t>
            </w:r>
            <w:r>
              <w:rPr>
                <w:rFonts w:eastAsia="仿宋_GB2312"/>
                <w:szCs w:val="21"/>
              </w:rPr>
              <w:t>”</w:t>
            </w:r>
            <w:r>
              <w:rPr>
                <w:rFonts w:hint="eastAsia" w:hAnsi="仿宋_GB2312" w:eastAsia="仿宋_GB2312"/>
                <w:szCs w:val="21"/>
              </w:rPr>
              <w:t>、入户等方式违规充电</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restart"/>
            <w:vAlign w:val="center"/>
          </w:tcPr>
          <w:p>
            <w:pPr>
              <w:adjustRightInd w:val="0"/>
              <w:snapToGrid w:val="0"/>
              <w:jc w:val="center"/>
              <w:rPr>
                <w:rFonts w:eastAsia="仿宋_GB2312"/>
                <w:szCs w:val="21"/>
              </w:rPr>
            </w:pPr>
            <w:r>
              <w:rPr>
                <w:rFonts w:hint="eastAsia" w:hAnsi="仿宋_GB2312" w:eastAsia="仿宋_GB2312"/>
                <w:szCs w:val="21"/>
              </w:rPr>
              <w:t>重点岗位人员责任不落实</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单位未依法明确消防安全责任人、管理人及其职责</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2.</w:t>
            </w:r>
            <w:r>
              <w:rPr>
                <w:rFonts w:hint="eastAsia" w:hAnsi="仿宋_GB2312" w:eastAsia="仿宋_GB2312"/>
                <w:szCs w:val="21"/>
              </w:rPr>
              <w:t>消防控制室值班人员不会熟练操作设施设备</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3.</w:t>
            </w:r>
            <w:r>
              <w:rPr>
                <w:rFonts w:hint="eastAsia" w:hAnsi="仿宋_GB2312" w:eastAsia="仿宋_GB2312"/>
                <w:szCs w:val="21"/>
              </w:rPr>
              <w:t>微型消防站队员不能及时有效处置初起火灾</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restart"/>
            <w:vAlign w:val="center"/>
          </w:tcPr>
          <w:p>
            <w:pPr>
              <w:adjustRightInd w:val="0"/>
              <w:snapToGrid w:val="0"/>
              <w:jc w:val="center"/>
              <w:rPr>
                <w:rFonts w:eastAsia="仿宋_GB2312"/>
                <w:szCs w:val="21"/>
              </w:rPr>
            </w:pPr>
            <w:r>
              <w:rPr>
                <w:rFonts w:hint="eastAsia" w:hAnsi="仿宋_GB2312" w:eastAsia="仿宋_GB2312"/>
                <w:szCs w:val="21"/>
              </w:rPr>
              <w:t>日常管理机制不健全</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单位未定期开展建筑消防设施检测和维护保养，并完整准确记录</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2.</w:t>
            </w:r>
            <w:r>
              <w:rPr>
                <w:rFonts w:hint="eastAsia" w:hAnsi="仿宋_GB2312" w:eastAsia="仿宋_GB2312"/>
                <w:szCs w:val="21"/>
              </w:rPr>
              <w:t>未定期开展防火检查巡查，并如实登记报告</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3.</w:t>
            </w:r>
            <w:r>
              <w:rPr>
                <w:rFonts w:hint="eastAsia" w:hAnsi="仿宋_GB2312" w:eastAsia="仿宋_GB2312"/>
                <w:szCs w:val="21"/>
              </w:rPr>
              <w:t>未及时整改消除隐患，并落实安全防范措施</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restart"/>
            <w:vAlign w:val="center"/>
          </w:tcPr>
          <w:p>
            <w:pPr>
              <w:adjustRightInd w:val="0"/>
              <w:snapToGrid w:val="0"/>
              <w:jc w:val="center"/>
              <w:rPr>
                <w:rFonts w:eastAsia="仿宋_GB2312"/>
                <w:szCs w:val="21"/>
              </w:rPr>
            </w:pPr>
            <w:r>
              <w:rPr>
                <w:rFonts w:hint="eastAsia" w:hAnsi="仿宋_GB2312" w:eastAsia="仿宋_GB2312"/>
                <w:szCs w:val="21"/>
              </w:rPr>
              <w:t>宣传教育培训不深入</w:t>
            </w:r>
          </w:p>
        </w:tc>
        <w:tc>
          <w:tcPr>
            <w:tcW w:w="4825" w:type="dxa"/>
            <w:gridSpan w:val="3"/>
            <w:vAlign w:val="center"/>
          </w:tcPr>
          <w:p>
            <w:pPr>
              <w:adjustRightInd w:val="0"/>
              <w:snapToGrid w:val="0"/>
              <w:jc w:val="left"/>
              <w:rPr>
                <w:rFonts w:eastAsia="仿宋_GB2312"/>
                <w:szCs w:val="21"/>
              </w:rPr>
            </w:pPr>
            <w:r>
              <w:rPr>
                <w:rFonts w:eastAsia="仿宋_GB2312"/>
                <w:szCs w:val="21"/>
              </w:rPr>
              <w:t>1.</w:t>
            </w:r>
            <w:r>
              <w:rPr>
                <w:rFonts w:hint="eastAsia" w:hAnsi="仿宋_GB2312" w:eastAsia="仿宋_GB2312"/>
                <w:szCs w:val="21"/>
              </w:rPr>
              <w:t>单位检查整改隐患、扑救初起火灾、组织人员疏散、开展宣传培训能力不足</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0" w:hRule="atLeast"/>
          <w:jc w:val="center"/>
        </w:trPr>
        <w:tc>
          <w:tcPr>
            <w:tcW w:w="2132" w:type="dxa"/>
            <w:vMerge w:val="continue"/>
            <w:vAlign w:val="center"/>
          </w:tcPr>
          <w:p>
            <w:pPr>
              <w:adjustRightInd w:val="0"/>
              <w:snapToGrid w:val="0"/>
              <w:jc w:val="center"/>
              <w:rPr>
                <w:rFonts w:eastAsia="仿宋_GB2312"/>
                <w:szCs w:val="21"/>
              </w:rPr>
            </w:pPr>
          </w:p>
        </w:tc>
        <w:tc>
          <w:tcPr>
            <w:tcW w:w="4825" w:type="dxa"/>
            <w:gridSpan w:val="3"/>
            <w:vAlign w:val="center"/>
          </w:tcPr>
          <w:p>
            <w:pPr>
              <w:adjustRightInd w:val="0"/>
              <w:snapToGrid w:val="0"/>
              <w:jc w:val="left"/>
              <w:rPr>
                <w:rFonts w:eastAsia="仿宋_GB2312"/>
                <w:szCs w:val="21"/>
              </w:rPr>
            </w:pPr>
            <w:r>
              <w:rPr>
                <w:rFonts w:eastAsia="仿宋_GB2312"/>
                <w:szCs w:val="21"/>
              </w:rPr>
              <w:t>2.</w:t>
            </w:r>
            <w:r>
              <w:rPr>
                <w:rFonts w:hint="eastAsia" w:hAnsi="仿宋_GB2312" w:eastAsia="仿宋_GB2312"/>
                <w:szCs w:val="21"/>
              </w:rPr>
              <w:t>员工不了解本场所火灾危险性，不会报警、不会灭火、不会逃生</w:t>
            </w:r>
          </w:p>
        </w:tc>
        <w:tc>
          <w:tcPr>
            <w:tcW w:w="1125" w:type="dxa"/>
            <w:vAlign w:val="center"/>
          </w:tcPr>
          <w:p>
            <w:pPr>
              <w:adjustRightInd w:val="0"/>
              <w:snapToGrid w:val="0"/>
              <w:jc w:val="center"/>
              <w:rPr>
                <w:rFonts w:eastAsia="仿宋_GB2312"/>
                <w:szCs w:val="21"/>
              </w:rPr>
            </w:pPr>
          </w:p>
        </w:tc>
        <w:tc>
          <w:tcPr>
            <w:tcW w:w="975" w:type="dxa"/>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1" w:hRule="atLeast"/>
          <w:jc w:val="center"/>
        </w:trPr>
        <w:tc>
          <w:tcPr>
            <w:tcW w:w="2132" w:type="dxa"/>
            <w:tcBorders>
              <w:bottom w:val="nil"/>
            </w:tcBorders>
            <w:vAlign w:val="center"/>
          </w:tcPr>
          <w:p>
            <w:pPr>
              <w:adjustRightInd w:val="0"/>
              <w:snapToGrid w:val="0"/>
              <w:jc w:val="center"/>
              <w:rPr>
                <w:rFonts w:eastAsia="仿宋_GB2312"/>
                <w:szCs w:val="21"/>
              </w:rPr>
            </w:pPr>
            <w:r>
              <w:rPr>
                <w:rFonts w:hint="eastAsia" w:hAnsi="仿宋_GB2312" w:eastAsia="仿宋_GB2312"/>
                <w:szCs w:val="21"/>
              </w:rPr>
              <w:t>其他事项</w:t>
            </w:r>
          </w:p>
        </w:tc>
        <w:tc>
          <w:tcPr>
            <w:tcW w:w="6925" w:type="dxa"/>
            <w:gridSpan w:val="5"/>
            <w:tcBorders>
              <w:bottom w:val="nil"/>
            </w:tcBorders>
            <w:vAlign w:val="center"/>
          </w:tcPr>
          <w:p>
            <w:pPr>
              <w:adjustRightInd w:val="0"/>
              <w:snapToGrid w:val="0"/>
              <w:rPr>
                <w:rFonts w:eastAsia="仿宋_GB2312"/>
                <w:szCs w:val="21"/>
              </w:rPr>
            </w:pPr>
          </w:p>
        </w:tc>
        <w:tc>
          <w:tcPr>
            <w:tcW w:w="975" w:type="dxa"/>
            <w:tcBorders>
              <w:bottom w:val="nil"/>
            </w:tcBorders>
            <w:vAlign w:val="top"/>
          </w:tcPr>
          <w:p>
            <w:pPr>
              <w:adjustRightInd w:val="0"/>
              <w:snapToGrid w:val="0"/>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5" w:hRule="atLeast"/>
          <w:jc w:val="center"/>
        </w:trPr>
        <w:tc>
          <w:tcPr>
            <w:tcW w:w="2132" w:type="dxa"/>
            <w:vAlign w:val="center"/>
          </w:tcPr>
          <w:p>
            <w:pPr>
              <w:adjustRightInd w:val="0"/>
              <w:snapToGrid w:val="0"/>
              <w:jc w:val="center"/>
              <w:rPr>
                <w:rFonts w:eastAsia="仿宋_GB2312"/>
                <w:szCs w:val="21"/>
              </w:rPr>
            </w:pPr>
            <w:r>
              <w:rPr>
                <w:rFonts w:hint="eastAsia" w:hAnsi="仿宋_GB2312" w:eastAsia="仿宋_GB2312"/>
                <w:szCs w:val="21"/>
              </w:rPr>
              <w:t>整改情况</w:t>
            </w:r>
          </w:p>
        </w:tc>
        <w:tc>
          <w:tcPr>
            <w:tcW w:w="6925" w:type="dxa"/>
            <w:gridSpan w:val="5"/>
            <w:vAlign w:val="center"/>
          </w:tcPr>
          <w:p>
            <w:pPr>
              <w:adjustRightInd w:val="0"/>
              <w:snapToGrid w:val="0"/>
              <w:rPr>
                <w:rFonts w:eastAsia="仿宋_GB2312"/>
                <w:szCs w:val="21"/>
              </w:rPr>
            </w:pPr>
          </w:p>
        </w:tc>
        <w:tc>
          <w:tcPr>
            <w:tcW w:w="975" w:type="dxa"/>
            <w:vAlign w:val="top"/>
          </w:tcPr>
          <w:p>
            <w:pPr>
              <w:adjustRightInd w:val="0"/>
              <w:snapToGrid w:val="0"/>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29" w:hRule="atLeast"/>
          <w:jc w:val="center"/>
        </w:trPr>
        <w:tc>
          <w:tcPr>
            <w:tcW w:w="2132" w:type="dxa"/>
            <w:vAlign w:val="center"/>
          </w:tcPr>
          <w:p>
            <w:pPr>
              <w:adjustRightInd w:val="0"/>
              <w:snapToGrid w:val="0"/>
              <w:jc w:val="center"/>
              <w:rPr>
                <w:rFonts w:eastAsia="仿宋_GB2312"/>
                <w:szCs w:val="21"/>
              </w:rPr>
            </w:pPr>
            <w:r>
              <w:rPr>
                <w:rFonts w:hint="eastAsia" w:hAnsi="仿宋_GB2312" w:eastAsia="仿宋_GB2312"/>
                <w:szCs w:val="21"/>
              </w:rPr>
              <w:t>检查人员</w:t>
            </w:r>
          </w:p>
          <w:p>
            <w:pPr>
              <w:adjustRightInd w:val="0"/>
              <w:snapToGrid w:val="0"/>
              <w:jc w:val="center"/>
              <w:rPr>
                <w:rFonts w:eastAsia="仿宋_GB2312"/>
                <w:szCs w:val="21"/>
              </w:rPr>
            </w:pPr>
            <w:r>
              <w:rPr>
                <w:rFonts w:hint="eastAsia" w:hAnsi="仿宋_GB2312" w:eastAsia="仿宋_GB2312"/>
                <w:szCs w:val="21"/>
              </w:rPr>
              <w:t>签</w:t>
            </w:r>
            <w:r>
              <w:rPr>
                <w:rFonts w:eastAsia="仿宋_GB2312"/>
                <w:szCs w:val="21"/>
              </w:rPr>
              <w:t xml:space="preserve"> </w:t>
            </w:r>
            <w:r>
              <w:rPr>
                <w:rFonts w:hint="eastAsia" w:hAnsi="仿宋_GB2312" w:eastAsia="仿宋_GB2312"/>
                <w:szCs w:val="21"/>
              </w:rPr>
              <w:t>名</w:t>
            </w:r>
          </w:p>
        </w:tc>
        <w:tc>
          <w:tcPr>
            <w:tcW w:w="2296" w:type="dxa"/>
            <w:vAlign w:val="center"/>
          </w:tcPr>
          <w:p>
            <w:pPr>
              <w:adjustRightInd w:val="0"/>
              <w:snapToGrid w:val="0"/>
              <w:jc w:val="center"/>
              <w:rPr>
                <w:rFonts w:eastAsia="仿宋_GB2312"/>
                <w:szCs w:val="21"/>
              </w:rPr>
            </w:pPr>
          </w:p>
        </w:tc>
        <w:tc>
          <w:tcPr>
            <w:tcW w:w="1872" w:type="dxa"/>
            <w:vAlign w:val="center"/>
          </w:tcPr>
          <w:p>
            <w:pPr>
              <w:adjustRightInd w:val="0"/>
              <w:snapToGrid w:val="0"/>
              <w:jc w:val="center"/>
              <w:rPr>
                <w:rFonts w:eastAsia="仿宋_GB2312"/>
                <w:szCs w:val="21"/>
              </w:rPr>
            </w:pPr>
            <w:r>
              <w:rPr>
                <w:rFonts w:hint="eastAsia" w:hAnsi="仿宋_GB2312" w:eastAsia="仿宋_GB2312"/>
                <w:szCs w:val="21"/>
              </w:rPr>
              <w:t>单位负责人</w:t>
            </w:r>
          </w:p>
          <w:p>
            <w:pPr>
              <w:adjustRightInd w:val="0"/>
              <w:snapToGrid w:val="0"/>
              <w:jc w:val="center"/>
              <w:rPr>
                <w:rFonts w:eastAsia="仿宋_GB2312"/>
                <w:szCs w:val="21"/>
              </w:rPr>
            </w:pPr>
            <w:r>
              <w:rPr>
                <w:rFonts w:hint="eastAsia" w:hAnsi="仿宋_GB2312" w:eastAsia="仿宋_GB2312"/>
                <w:szCs w:val="21"/>
              </w:rPr>
              <w:t>签</w:t>
            </w:r>
            <w:r>
              <w:rPr>
                <w:rFonts w:eastAsia="仿宋_GB2312"/>
                <w:szCs w:val="21"/>
              </w:rPr>
              <w:t xml:space="preserve"> </w:t>
            </w:r>
            <w:r>
              <w:rPr>
                <w:rFonts w:hint="eastAsia" w:hAnsi="仿宋_GB2312" w:eastAsia="仿宋_GB2312"/>
                <w:szCs w:val="21"/>
              </w:rPr>
              <w:t>名</w:t>
            </w:r>
          </w:p>
        </w:tc>
        <w:tc>
          <w:tcPr>
            <w:tcW w:w="2757" w:type="dxa"/>
            <w:gridSpan w:val="3"/>
            <w:vAlign w:val="center"/>
          </w:tcPr>
          <w:p>
            <w:pPr>
              <w:adjustRightInd w:val="0"/>
              <w:snapToGrid w:val="0"/>
              <w:jc w:val="center"/>
              <w:rPr>
                <w:rFonts w:eastAsia="仿宋_GB2312"/>
                <w:szCs w:val="21"/>
              </w:rPr>
            </w:pPr>
          </w:p>
        </w:tc>
        <w:tc>
          <w:tcPr>
            <w:tcW w:w="975" w:type="dxa"/>
            <w:vAlign w:val="top"/>
          </w:tcPr>
          <w:p>
            <w:pPr>
              <w:adjustRightInd w:val="0"/>
              <w:snapToGrid w:val="0"/>
              <w:jc w:val="center"/>
              <w:rPr>
                <w:rFonts w:eastAsia="仿宋_GB2312"/>
                <w:szCs w:val="21"/>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Batang">
    <w:panose1 w:val="0203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ascii="宋体"/>
        <w:sz w:val="28"/>
        <w:szCs w:val="28"/>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snapToGrid w:val="0"/>
                            <w:rPr>
                              <w:rFonts w:ascii="宋体" w:cs="宋体"/>
                              <w:sz w:val="28"/>
                              <w:szCs w:val="28"/>
                            </w:rPr>
                          </w:pPr>
                          <w:r>
                            <w:rPr>
                              <w:rFonts w:ascii="宋体" w:hAnsi="宋体" w:cs="宋体"/>
                              <w:sz w:val="28"/>
                              <w:szCs w:val="28"/>
                            </w:rPr>
                            <w:fldChar w:fldCharType="begin"/>
                          </w:r>
                          <w:r>
                            <w:rPr>
                              <w:rFonts w:ascii="宋体" w:hAnsi="宋体" w:cs="宋体"/>
                              <w:sz w:val="28"/>
                              <w:szCs w:val="28"/>
                            </w:rPr>
                            <w:instrText xml:space="preserve"> PAGE  \* MERGEFORMAT </w:instrText>
                          </w:r>
                          <w:r>
                            <w:rPr>
                              <w:rFonts w:ascii="宋体" w:hAnsi="宋体" w:cs="宋体"/>
                              <w:sz w:val="28"/>
                              <w:szCs w:val="28"/>
                            </w:rPr>
                            <w:fldChar w:fldCharType="separate"/>
                          </w:r>
                          <w:r>
                            <w:rPr>
                              <w:rFonts w:ascii="宋体" w:hAnsi="宋体" w:cs="宋体"/>
                              <w:sz w:val="28"/>
                              <w:szCs w:val="28"/>
                            </w:rPr>
                            <w:t>- 12 -</w:t>
                          </w:r>
                          <w:r>
                            <w:rPr>
                              <w:rFonts w:ascii="宋体" w:hAnsi="宋体" w:cs="宋体"/>
                              <w:sz w:val="28"/>
                              <w:szCs w:val="28"/>
                            </w:rP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SVju&#10;0AAAAAUBAAAPAAAAAAAAAAEAIAAAACIAAABkcnMvZG93bnJldi54bWxQSwECFAAUAAAACACHTuJA&#10;p4G+ULcBAABUAwAADgAAAAAAAAABACAAAAAfAQAAZHJzL2Uyb0RvYy54bWxQSwUGAAAAAAYABgBZ&#10;AQAASAUAAAAA&#10;">
              <v:path/>
              <v:fill on="f" focussize="0,0"/>
              <v:stroke on="f" weight="0.5pt" joinstyle="miter"/>
              <v:imagedata o:title=""/>
              <o:lock v:ext="edit"/>
              <v:textbox inset="0mm,0mm,0mm,0mm" style="mso-fit-shape-to-text:t;">
                <w:txbxContent>
                  <w:p>
                    <w:pPr>
                      <w:snapToGrid w:val="0"/>
                      <w:rPr>
                        <w:rFonts w:ascii="宋体" w:cs="宋体"/>
                        <w:sz w:val="28"/>
                        <w:szCs w:val="28"/>
                      </w:rPr>
                    </w:pPr>
                    <w:r>
                      <w:rPr>
                        <w:rFonts w:ascii="宋体" w:hAnsi="宋体" w:cs="宋体"/>
                        <w:sz w:val="28"/>
                        <w:szCs w:val="28"/>
                      </w:rPr>
                      <w:fldChar w:fldCharType="begin"/>
                    </w:r>
                    <w:r>
                      <w:rPr>
                        <w:rFonts w:ascii="宋体" w:hAnsi="宋体" w:cs="宋体"/>
                        <w:sz w:val="28"/>
                        <w:szCs w:val="28"/>
                      </w:rPr>
                      <w:instrText xml:space="preserve"> PAGE  \* MERGEFORMAT </w:instrText>
                    </w:r>
                    <w:r>
                      <w:rPr>
                        <w:rFonts w:ascii="宋体" w:hAnsi="宋体" w:cs="宋体"/>
                        <w:sz w:val="28"/>
                        <w:szCs w:val="28"/>
                      </w:rPr>
                      <w:fldChar w:fldCharType="separate"/>
                    </w:r>
                    <w:r>
                      <w:rPr>
                        <w:rFonts w:ascii="宋体" w:hAnsi="宋体" w:cs="宋体"/>
                        <w:sz w:val="28"/>
                        <w:szCs w:val="28"/>
                      </w:rPr>
                      <w:t>- 12 -</w:t>
                    </w:r>
                    <w:r>
                      <w:rPr>
                        <w:rFonts w:ascii="宋体" w:hAnsi="宋体" w:cs="宋体"/>
                        <w:sz w:val="28"/>
                        <w:szCs w:val="28"/>
                      </w:rPr>
                      <w:fldChar w:fldCharType="end"/>
                    </w:r>
                  </w:p>
                </w:txbxContent>
              </v:textbox>
            </v:shape>
          </w:pict>
        </mc:Fallback>
      </mc:AlternateContent>
    </w: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219075</wp:posOffset>
              </wp:positionV>
              <wp:extent cx="222250" cy="306705"/>
              <wp:effectExtent l="0" t="0" r="0" b="0"/>
              <wp:wrapNone/>
              <wp:docPr id="1" name="文本框11"/>
              <wp:cNvGraphicFramePr/>
              <a:graphic xmlns:a="http://schemas.openxmlformats.org/drawingml/2006/main">
                <a:graphicData uri="http://schemas.microsoft.com/office/word/2010/wordprocessingShape">
                  <wps:wsp>
                    <wps:cNvSpPr txBox="1"/>
                    <wps:spPr>
                      <a:xfrm>
                        <a:off x="0" y="0"/>
                        <a:ext cx="222250" cy="306705"/>
                      </a:xfrm>
                      <a:prstGeom prst="rect">
                        <a:avLst/>
                      </a:prstGeom>
                      <a:noFill/>
                      <a:ln w="9525">
                        <a:noFill/>
                      </a:ln>
                    </wps:spPr>
                    <wps:txbx>
                      <w:txbxContent>
                        <w:p>
                          <w:pPr>
                            <w:snapToGrid w:val="0"/>
                            <w:rPr>
                              <w:rFonts w:ascii="宋体" w:cs="宋体"/>
                              <w:sz w:val="28"/>
                              <w:szCs w:val="28"/>
                            </w:rPr>
                          </w:pPr>
                        </w:p>
                      </w:txbxContent>
                    </wps:txbx>
                    <wps:bodyPr wrap="none" lIns="0" tIns="0" rIns="0" bIns="0" upright="1">
                      <a:spAutoFit/>
                    </wps:bodyPr>
                  </wps:wsp>
                </a:graphicData>
              </a:graphic>
            </wp:anchor>
          </w:drawing>
        </mc:Choice>
        <mc:Fallback>
          <w:pict>
            <v:shape id="文本框11" o:spid="_x0000_s1026" o:spt="202" type="#_x0000_t202" style="position:absolute;left:0pt;margin-top:17.25pt;height:24.15pt;width:17.5pt;mso-position-horizontal:outside;mso-position-horizontal-relative:margin;mso-wrap-style:none;z-index:251658240;mso-width-relative:page;mso-height-relative:page;" filled="f" stroked="f" coordsize="21600,21600" o:gfxdata="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BxKLik0gAAAAUBAAAPAAAAAAAAAAEAIAAAACIAAABkcnMvZG93bnJldi54bWxQSwECFAAUAAAA&#10;CACHTuJAiOYoI7sBAABSAwAADgAAAAAAAAABACAAAAAhAQAAZHJzL2Uyb0RvYy54bWxQSwUGAAAA&#10;AAYABgBZAQAATgUAAAAA&#10;">
              <v:path/>
              <v:fill on="f" focussize="0,0"/>
              <v:stroke on="f" joinstyle="miter"/>
              <v:imagedata o:title=""/>
              <o:lock v:ext="edit"/>
              <v:textbox inset="0mm,0mm,0mm,0mm" style="mso-fit-shape-to-text:t;">
                <w:txbxContent>
                  <w:p>
                    <w:pPr>
                      <w:snapToGrid w:val="0"/>
                      <w:rPr>
                        <w:rFonts w:ascii="宋体" w:cs="宋体"/>
                        <w:sz w:val="28"/>
                        <w:szCs w:val="28"/>
                      </w:rPr>
                    </w:pPr>
                  </w:p>
                </w:txbxContent>
              </v:textbox>
            </v:shape>
          </w:pict>
        </mc:Fallback>
      </mc:AlternateContent>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2E5A0F"/>
    <w:rsid w:val="4C2E5A0F"/>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Body Text Indent"/>
    <w:basedOn w:val="1"/>
    <w:uiPriority w:val="0"/>
    <w:pPr>
      <w:spacing w:after="120"/>
      <w:ind w:left="420" w:leftChars="200"/>
    </w:pPr>
    <w:rPr>
      <w:rFonts w:ascii="Calibri" w:hAnsi="Calibri" w:eastAsia="仿宋_GB2312"/>
      <w:kern w:val="0"/>
      <w:sz w:val="32"/>
    </w:rPr>
  </w:style>
  <w:style w:type="paragraph" w:styleId="3">
    <w:name w:val="footer"/>
    <w:basedOn w:val="1"/>
    <w:uiPriority w:val="0"/>
    <w:pPr>
      <w:tabs>
        <w:tab w:val="center" w:pos="4153"/>
        <w:tab w:val="right" w:pos="8306"/>
      </w:tabs>
      <w:snapToGrid w:val="0"/>
      <w:jc w:val="left"/>
    </w:pPr>
    <w:rPr>
      <w:sz w:val="18"/>
      <w:szCs w:val="18"/>
    </w:rPr>
  </w:style>
  <w:style w:type="paragraph" w:styleId="4">
    <w:name w:val="header"/>
    <w:basedOn w:val="1"/>
    <w:next w:val="1"/>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厦门市翔安区政府</Company>
  <Pages>1</Pages>
  <Words>0</Words>
  <Characters>0</Characters>
  <Lines>0</Lines>
  <Paragraphs>0</Paragraphs>
  <ScaleCrop>false</ScaleCrop>
  <LinksUpToDate>false</LinksUpToDate>
  <CharactersWithSpaces>0</CharactersWithSpaces>
  <Application>WPS Office_10.8.0.5761_F1E327BC-269C-435d-A152-05C5408002CA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2019-12-05T02:24:00Z</dcterms:created>
  <dc:creator>Administrator</dc:creator>
  <cp:lastModifiedBy>Administrator</cp:lastModifiedBy>
  <dcterms:modified xsi:type="dcterms:W3CDTF">2019-12-05T02:25:34Z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2052-10.8.0.5761</vt:lpwstr>
  </property>
</Properties>
</file>