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470"/>
        </w:tabs>
        <w:snapToGrid w:val="0"/>
        <w:spacing w:line="600" w:lineRule="exact"/>
        <w:jc w:val="left"/>
        <w:rPr>
          <w:rFonts w:hint="eastAsia" w:eastAsia="仿宋_GB2312"/>
          <w:color w:val="000000"/>
          <w:kern w:val="0"/>
          <w:sz w:val="32"/>
          <w:szCs w:val="32"/>
          <w:lang w:val="en-US" w:eastAsia="zh-CN"/>
        </w:rPr>
      </w:pPr>
      <w:r>
        <w:rPr>
          <w:rFonts w:hint="eastAsia" w:eastAsia="仿宋_GB2312"/>
          <w:color w:val="000000"/>
          <w:kern w:val="0"/>
          <w:sz w:val="32"/>
          <w:szCs w:val="32"/>
          <w:lang w:val="en-US" w:eastAsia="zh-CN"/>
        </w:rPr>
        <w:t>附件1</w:t>
      </w:r>
    </w:p>
    <w:p>
      <w:pPr>
        <w:jc w:val="center"/>
        <w:rPr>
          <w:rFonts w:hint="eastAsia" w:eastAsia="方正小标宋简体"/>
          <w:sz w:val="36"/>
          <w:szCs w:val="36"/>
          <w:lang w:val="en-US" w:eastAsia="zh-CN"/>
        </w:rPr>
      </w:pPr>
    </w:p>
    <w:p>
      <w:pPr>
        <w:jc w:val="center"/>
        <w:rPr>
          <w:rFonts w:hint="eastAsia" w:eastAsia="方正小标宋简体"/>
          <w:sz w:val="36"/>
          <w:szCs w:val="36"/>
          <w:lang w:eastAsia="zh-CN"/>
        </w:rPr>
      </w:pPr>
      <w:r>
        <w:rPr>
          <w:rFonts w:hint="eastAsia" w:eastAsia="方正小标宋简体"/>
          <w:sz w:val="36"/>
          <w:szCs w:val="36"/>
          <w:lang w:val="en-US" w:eastAsia="zh-CN"/>
        </w:rPr>
        <w:t>2023年</w:t>
      </w:r>
      <w:r>
        <w:rPr>
          <w:rFonts w:hint="eastAsia" w:eastAsia="方正小标宋简体"/>
          <w:sz w:val="36"/>
          <w:szCs w:val="36"/>
        </w:rPr>
        <w:t>统计局绩效管理工作领导小组</w:t>
      </w:r>
      <w:r>
        <w:rPr>
          <w:rFonts w:hint="eastAsia" w:eastAsia="方正小标宋简体"/>
          <w:sz w:val="36"/>
          <w:szCs w:val="36"/>
          <w:lang w:eastAsia="zh-CN"/>
        </w:rPr>
        <w:t>成员名单</w:t>
      </w:r>
    </w:p>
    <w:p>
      <w:pPr>
        <w:tabs>
          <w:tab w:val="left" w:pos="1470"/>
        </w:tabs>
        <w:snapToGrid w:val="0"/>
        <w:spacing w:line="600" w:lineRule="exact"/>
        <w:jc w:val="left"/>
        <w:rPr>
          <w:rFonts w:hint="eastAsia" w:eastAsia="仿宋_GB2312"/>
          <w:kern w:val="0"/>
          <w:sz w:val="32"/>
          <w:szCs w:val="32"/>
          <w:lang w:val="en-US" w:eastAsia="zh-CN"/>
        </w:rPr>
      </w:pPr>
      <w:r>
        <w:rPr>
          <w:rFonts w:hint="eastAsia" w:eastAsia="仿宋_GB2312"/>
          <w:kern w:val="0"/>
          <w:sz w:val="32"/>
          <w:szCs w:val="32"/>
          <w:lang w:val="en-US" w:eastAsia="zh-CN"/>
        </w:rPr>
        <w:t xml:space="preserve">     </w:t>
      </w:r>
    </w:p>
    <w:p>
      <w:pPr>
        <w:tabs>
          <w:tab w:val="left" w:pos="1470"/>
        </w:tabs>
        <w:snapToGrid w:val="0"/>
        <w:spacing w:line="600" w:lineRule="exact"/>
        <w:ind w:firstLine="640" w:firstLineChars="200"/>
        <w:jc w:val="left"/>
        <w:rPr>
          <w:rFonts w:hint="eastAsia" w:eastAsia="仿宋_GB2312"/>
          <w:kern w:val="0"/>
          <w:sz w:val="32"/>
          <w:szCs w:val="32"/>
          <w:lang w:val="en-US" w:eastAsia="zh-CN"/>
        </w:rPr>
      </w:pPr>
      <w:r>
        <w:rPr>
          <w:rFonts w:hint="eastAsia" w:eastAsia="仿宋_GB2312"/>
          <w:kern w:val="0"/>
          <w:sz w:val="32"/>
          <w:szCs w:val="32"/>
          <w:lang w:val="en-US" w:eastAsia="zh-CN"/>
        </w:rPr>
        <w:t>组长：林  晨 负责人</w:t>
      </w:r>
    </w:p>
    <w:p>
      <w:pPr>
        <w:tabs>
          <w:tab w:val="left" w:pos="1470"/>
        </w:tabs>
        <w:snapToGrid w:val="0"/>
        <w:spacing w:line="600" w:lineRule="exact"/>
        <w:ind w:firstLine="640" w:firstLineChars="200"/>
        <w:jc w:val="left"/>
        <w:rPr>
          <w:rFonts w:hint="eastAsia" w:eastAsia="仿宋_GB2312"/>
          <w:kern w:val="0"/>
          <w:sz w:val="32"/>
          <w:szCs w:val="32"/>
          <w:lang w:val="en-US" w:eastAsia="zh-CN"/>
        </w:rPr>
      </w:pPr>
      <w:r>
        <w:rPr>
          <w:rFonts w:hint="eastAsia" w:eastAsia="仿宋_GB2312"/>
          <w:kern w:val="0"/>
          <w:sz w:val="32"/>
          <w:szCs w:val="32"/>
          <w:lang w:val="en-US" w:eastAsia="zh-CN"/>
        </w:rPr>
        <w:t>成员：黄  薇 四级调研员</w:t>
      </w:r>
    </w:p>
    <w:p>
      <w:pPr>
        <w:tabs>
          <w:tab w:val="left" w:pos="1470"/>
        </w:tabs>
        <w:snapToGrid w:val="0"/>
        <w:spacing w:line="600" w:lineRule="exact"/>
        <w:ind w:firstLine="640" w:firstLineChars="200"/>
        <w:jc w:val="left"/>
        <w:rPr>
          <w:rFonts w:hint="eastAsia" w:eastAsia="仿宋_GB2312"/>
          <w:kern w:val="0"/>
          <w:sz w:val="32"/>
          <w:szCs w:val="32"/>
          <w:lang w:val="en-US" w:eastAsia="zh-CN"/>
        </w:rPr>
      </w:pPr>
      <w:r>
        <w:rPr>
          <w:rFonts w:hint="eastAsia" w:eastAsia="仿宋_GB2312"/>
          <w:kern w:val="0"/>
          <w:sz w:val="32"/>
          <w:szCs w:val="32"/>
          <w:lang w:val="en-US" w:eastAsia="zh-CN"/>
        </w:rPr>
        <w:t xml:space="preserve">      黄文献 一级主任科员</w:t>
      </w:r>
    </w:p>
    <w:p>
      <w:pPr>
        <w:tabs>
          <w:tab w:val="left" w:pos="1470"/>
        </w:tabs>
        <w:snapToGrid w:val="0"/>
        <w:spacing w:line="600" w:lineRule="exact"/>
        <w:ind w:firstLine="640" w:firstLineChars="200"/>
        <w:jc w:val="left"/>
        <w:rPr>
          <w:rFonts w:hint="eastAsia" w:eastAsia="仿宋_GB2312"/>
          <w:kern w:val="0"/>
          <w:sz w:val="32"/>
          <w:szCs w:val="32"/>
          <w:lang w:val="en-US" w:eastAsia="zh-CN"/>
        </w:rPr>
      </w:pPr>
      <w:r>
        <w:rPr>
          <w:rFonts w:hint="eastAsia" w:eastAsia="仿宋_GB2312"/>
          <w:kern w:val="0"/>
          <w:sz w:val="32"/>
          <w:szCs w:val="32"/>
          <w:lang w:val="en-US" w:eastAsia="zh-CN"/>
        </w:rPr>
        <w:t xml:space="preserve">      曾诸军 一级主任科员</w:t>
      </w:r>
    </w:p>
    <w:p>
      <w:pPr>
        <w:tabs>
          <w:tab w:val="left" w:pos="1470"/>
        </w:tabs>
        <w:snapToGrid w:val="0"/>
        <w:spacing w:line="600" w:lineRule="exact"/>
        <w:ind w:firstLine="1600" w:firstLineChars="500"/>
        <w:jc w:val="left"/>
        <w:rPr>
          <w:rFonts w:hint="eastAsia" w:eastAsia="仿宋_GB2312"/>
          <w:kern w:val="0"/>
          <w:sz w:val="32"/>
          <w:szCs w:val="32"/>
          <w:lang w:val="en-US" w:eastAsia="zh-CN"/>
        </w:rPr>
      </w:pPr>
      <w:r>
        <w:rPr>
          <w:rFonts w:hint="eastAsia" w:eastAsia="仿宋_GB2312"/>
          <w:kern w:val="0"/>
          <w:sz w:val="32"/>
          <w:szCs w:val="32"/>
          <w:lang w:val="en-US" w:eastAsia="zh-CN"/>
        </w:rPr>
        <w:t>李苹苹 调查队队长</w:t>
      </w:r>
    </w:p>
    <w:p>
      <w:pPr>
        <w:tabs>
          <w:tab w:val="left" w:pos="1470"/>
        </w:tabs>
        <w:snapToGrid w:val="0"/>
        <w:spacing w:line="600" w:lineRule="exact"/>
        <w:ind w:firstLine="1600" w:firstLineChars="500"/>
        <w:jc w:val="left"/>
        <w:rPr>
          <w:rFonts w:hint="eastAsia" w:eastAsia="仿宋_GB2312"/>
          <w:kern w:val="0"/>
          <w:sz w:val="32"/>
          <w:szCs w:val="32"/>
          <w:lang w:val="en-US" w:eastAsia="zh-CN"/>
        </w:rPr>
      </w:pPr>
      <w:r>
        <w:rPr>
          <w:rFonts w:hint="eastAsia" w:eastAsia="仿宋_GB2312"/>
          <w:kern w:val="0"/>
          <w:sz w:val="32"/>
          <w:szCs w:val="32"/>
          <w:lang w:val="en-US" w:eastAsia="zh-CN"/>
        </w:rPr>
        <w:t>翁莉萍 二级主任科员</w:t>
      </w: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ind w:firstLine="1600" w:firstLineChars="500"/>
        <w:jc w:val="left"/>
        <w:rPr>
          <w:rFonts w:hint="eastAsia" w:eastAsia="仿宋_GB2312"/>
          <w:kern w:val="0"/>
          <w:sz w:val="32"/>
          <w:szCs w:val="32"/>
          <w:lang w:val="en-US" w:eastAsia="zh-CN"/>
        </w:rPr>
      </w:pPr>
    </w:p>
    <w:p>
      <w:pPr>
        <w:tabs>
          <w:tab w:val="left" w:pos="1470"/>
        </w:tabs>
        <w:snapToGrid w:val="0"/>
        <w:spacing w:line="600" w:lineRule="exact"/>
        <w:jc w:val="left"/>
        <w:rPr>
          <w:rFonts w:hint="eastAsia" w:eastAsia="仿宋_GB2312"/>
          <w:kern w:val="0"/>
          <w:sz w:val="32"/>
          <w:szCs w:val="32"/>
          <w:lang w:val="en-US" w:eastAsia="zh-CN"/>
        </w:rPr>
        <w:sectPr>
          <w:footerReference r:id="rId3" w:type="default"/>
          <w:footerReference r:id="rId4" w:type="even"/>
          <w:pgSz w:w="11907" w:h="16840"/>
          <w:pgMar w:top="1531" w:right="1418" w:bottom="1418" w:left="1531" w:header="851" w:footer="992" w:gutter="0"/>
          <w:pgNumType w:fmt="numberInDash"/>
          <w:cols w:space="720" w:num="1"/>
          <w:docGrid w:type="lines" w:linePitch="312" w:charSpace="2252"/>
        </w:sectPr>
      </w:pPr>
    </w:p>
    <w:p>
      <w:pPr>
        <w:tabs>
          <w:tab w:val="left" w:pos="1470"/>
        </w:tabs>
        <w:snapToGrid w:val="0"/>
        <w:spacing w:line="600" w:lineRule="exact"/>
        <w:jc w:val="left"/>
        <w:rPr>
          <w:rFonts w:hint="eastAsia" w:eastAsia="仿宋_GB2312"/>
          <w:color w:val="000000"/>
          <w:kern w:val="0"/>
          <w:sz w:val="32"/>
          <w:szCs w:val="32"/>
          <w:lang w:val="en-US" w:eastAsia="zh-CN"/>
        </w:rPr>
      </w:pPr>
      <w:r>
        <w:rPr>
          <w:rFonts w:hint="eastAsia" w:eastAsia="仿宋_GB2312"/>
          <w:color w:val="000000"/>
          <w:kern w:val="0"/>
          <w:sz w:val="32"/>
          <w:szCs w:val="32"/>
          <w:lang w:val="en-US" w:eastAsia="zh-CN"/>
        </w:rPr>
        <w:t>附件2</w:t>
      </w:r>
    </w:p>
    <w:p>
      <w:pPr>
        <w:jc w:val="center"/>
        <w:rPr>
          <w:rFonts w:hint="eastAsia" w:ascii="仿宋_GB2312" w:hAnsi="仿宋_GB2312" w:eastAsia="仿宋_GB2312" w:cs="仿宋_GB2312"/>
          <w:b/>
          <w:bCs/>
          <w:kern w:val="0"/>
          <w:sz w:val="28"/>
          <w:szCs w:val="28"/>
        </w:rPr>
      </w:pPr>
      <w:r>
        <w:rPr>
          <w:rFonts w:hint="eastAsia" w:eastAsia="方正小标宋简体"/>
          <w:sz w:val="36"/>
          <w:szCs w:val="36"/>
          <w:lang w:eastAsia="zh-CN"/>
        </w:rPr>
        <w:t>202</w:t>
      </w:r>
      <w:r>
        <w:rPr>
          <w:rFonts w:hint="eastAsia" w:eastAsia="方正小标宋简体"/>
          <w:sz w:val="36"/>
          <w:szCs w:val="36"/>
          <w:lang w:val="en-US" w:eastAsia="zh-CN"/>
        </w:rPr>
        <w:t>3</w:t>
      </w:r>
      <w:r>
        <w:rPr>
          <w:rFonts w:eastAsia="方正小标宋简体"/>
          <w:sz w:val="36"/>
          <w:szCs w:val="36"/>
        </w:rPr>
        <w:t>年度</w:t>
      </w:r>
      <w:r>
        <w:rPr>
          <w:rFonts w:hint="eastAsia" w:eastAsia="方正小标宋简体"/>
          <w:sz w:val="36"/>
          <w:szCs w:val="36"/>
        </w:rPr>
        <w:t>区</w:t>
      </w:r>
      <w:r>
        <w:rPr>
          <w:rFonts w:eastAsia="方正小标宋简体"/>
          <w:sz w:val="36"/>
          <w:szCs w:val="36"/>
        </w:rPr>
        <w:t>绩效评估指标</w:t>
      </w:r>
      <w:r>
        <w:rPr>
          <w:rFonts w:hint="eastAsia" w:eastAsia="方正小标宋简体"/>
          <w:sz w:val="36"/>
          <w:szCs w:val="36"/>
        </w:rPr>
        <w:t>任务分解表</w:t>
      </w:r>
    </w:p>
    <w:tbl>
      <w:tblPr>
        <w:tblStyle w:val="4"/>
        <w:tblW w:w="140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1189"/>
        <w:gridCol w:w="3121"/>
        <w:gridCol w:w="824"/>
        <w:gridCol w:w="2483"/>
        <w:gridCol w:w="1793"/>
        <w:gridCol w:w="1776"/>
        <w:gridCol w:w="19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90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黑体" w:cs="Times New Roman"/>
                <w:i w:val="0"/>
                <w:color w:val="auto"/>
                <w:sz w:val="24"/>
                <w:szCs w:val="24"/>
                <w:u w:val="none"/>
              </w:rPr>
            </w:pPr>
            <w:r>
              <w:rPr>
                <w:rFonts w:hint="default" w:ascii="Times New Roman" w:hAnsi="Times New Roman" w:eastAsia="黑体" w:cs="Times New Roman"/>
                <w:i w:val="0"/>
                <w:color w:val="auto"/>
                <w:kern w:val="0"/>
                <w:sz w:val="24"/>
                <w:szCs w:val="24"/>
                <w:u w:val="none"/>
                <w:lang w:val="en-US" w:eastAsia="zh-CN" w:bidi="ar"/>
              </w:rPr>
              <w:t>项目</w:t>
            </w:r>
          </w:p>
        </w:tc>
        <w:tc>
          <w:tcPr>
            <w:tcW w:w="118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黑体" w:cs="Times New Roman"/>
                <w:i w:val="0"/>
                <w:color w:val="auto"/>
                <w:sz w:val="24"/>
                <w:szCs w:val="24"/>
                <w:u w:val="none"/>
              </w:rPr>
            </w:pPr>
            <w:r>
              <w:rPr>
                <w:rFonts w:hint="default" w:ascii="Times New Roman" w:hAnsi="Times New Roman" w:eastAsia="黑体" w:cs="Times New Roman"/>
                <w:i w:val="0"/>
                <w:color w:val="auto"/>
                <w:kern w:val="0"/>
                <w:sz w:val="24"/>
                <w:szCs w:val="24"/>
                <w:u w:val="none"/>
                <w:lang w:val="en-US" w:eastAsia="zh-CN" w:bidi="ar"/>
              </w:rPr>
              <w:t>一级指标</w:t>
            </w: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黑体" w:cs="Times New Roman"/>
                <w:i w:val="0"/>
                <w:color w:val="auto"/>
                <w:sz w:val="24"/>
                <w:szCs w:val="24"/>
                <w:u w:val="none"/>
              </w:rPr>
            </w:pPr>
            <w:r>
              <w:rPr>
                <w:rFonts w:hint="default" w:ascii="Times New Roman" w:hAnsi="Times New Roman" w:eastAsia="黑体" w:cs="Times New Roman"/>
                <w:i w:val="0"/>
                <w:color w:val="auto"/>
                <w:kern w:val="0"/>
                <w:sz w:val="24"/>
                <w:szCs w:val="24"/>
                <w:u w:val="none"/>
                <w:lang w:val="en-US" w:eastAsia="zh-CN" w:bidi="ar"/>
              </w:rPr>
              <w:t>二级指标名称</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黑体" w:cs="Times New Roman"/>
                <w:i w:val="0"/>
                <w:color w:val="auto"/>
                <w:sz w:val="24"/>
                <w:szCs w:val="24"/>
                <w:u w:val="none"/>
              </w:rPr>
            </w:pPr>
            <w:r>
              <w:rPr>
                <w:rFonts w:hint="default" w:ascii="Times New Roman" w:hAnsi="Times New Roman" w:eastAsia="黑体" w:cs="Times New Roman"/>
                <w:i w:val="0"/>
                <w:color w:val="auto"/>
                <w:kern w:val="0"/>
                <w:sz w:val="24"/>
                <w:szCs w:val="24"/>
                <w:u w:val="none"/>
                <w:lang w:val="en-US" w:eastAsia="zh-CN" w:bidi="ar"/>
              </w:rPr>
              <w:t>分值</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黑体" w:cs="Times New Roman"/>
                <w:i w:val="0"/>
                <w:color w:val="auto"/>
                <w:sz w:val="24"/>
                <w:szCs w:val="24"/>
                <w:u w:val="none"/>
              </w:rPr>
            </w:pPr>
            <w:r>
              <w:rPr>
                <w:rFonts w:hint="default" w:ascii="Times New Roman" w:hAnsi="Times New Roman" w:eastAsia="黑体" w:cs="Times New Roman"/>
                <w:i w:val="0"/>
                <w:color w:val="auto"/>
                <w:kern w:val="0"/>
                <w:sz w:val="24"/>
                <w:szCs w:val="24"/>
                <w:u w:val="none"/>
                <w:lang w:val="en-US" w:eastAsia="zh-CN" w:bidi="ar"/>
              </w:rPr>
              <w:t>数据采集责任单位</w:t>
            </w:r>
          </w:p>
        </w:tc>
        <w:tc>
          <w:tcPr>
            <w:tcW w:w="1793" w:type="dxa"/>
            <w:noWrap w:val="0"/>
            <w:vAlign w:val="center"/>
          </w:tcPr>
          <w:p>
            <w:pPr>
              <w:spacing w:line="280" w:lineRule="exact"/>
              <w:jc w:val="center"/>
              <w:rPr>
                <w:rFonts w:hint="eastAsia" w:eastAsia="仿宋_GB2312"/>
                <w:b/>
                <w:kern w:val="0"/>
                <w:sz w:val="24"/>
                <w:szCs w:val="24"/>
              </w:rPr>
            </w:pPr>
            <w:r>
              <w:rPr>
                <w:rFonts w:hint="eastAsia" w:eastAsia="仿宋_GB2312"/>
                <w:b/>
                <w:kern w:val="0"/>
                <w:sz w:val="24"/>
                <w:szCs w:val="24"/>
              </w:rPr>
              <w:t>责任</w:t>
            </w:r>
          </w:p>
          <w:p>
            <w:pPr>
              <w:spacing w:line="280" w:lineRule="exact"/>
              <w:jc w:val="center"/>
              <w:rPr>
                <w:rFonts w:hint="default" w:ascii="Times New Roman" w:hAnsi="Times New Roman" w:eastAsia="仿宋_GB2312" w:cs="Times New Roman"/>
                <w:b/>
                <w:kern w:val="0"/>
                <w:sz w:val="24"/>
                <w:szCs w:val="24"/>
                <w:lang w:val="en-US" w:eastAsia="zh-CN" w:bidi="ar-SA"/>
              </w:rPr>
            </w:pPr>
            <w:r>
              <w:rPr>
                <w:rFonts w:hint="eastAsia" w:eastAsia="仿宋_GB2312"/>
                <w:b/>
                <w:kern w:val="0"/>
                <w:sz w:val="24"/>
                <w:szCs w:val="24"/>
              </w:rPr>
              <w:t>领导</w:t>
            </w:r>
          </w:p>
        </w:tc>
        <w:tc>
          <w:tcPr>
            <w:tcW w:w="1776" w:type="dxa"/>
            <w:noWrap w:val="0"/>
            <w:vAlign w:val="center"/>
          </w:tcPr>
          <w:p>
            <w:pPr>
              <w:spacing w:line="280" w:lineRule="exact"/>
              <w:jc w:val="center"/>
              <w:rPr>
                <w:rFonts w:hint="default" w:ascii="Times New Roman" w:hAnsi="Times New Roman" w:eastAsia="仿宋_GB2312" w:cs="Times New Roman"/>
                <w:b/>
                <w:kern w:val="0"/>
                <w:sz w:val="24"/>
                <w:szCs w:val="24"/>
                <w:lang w:val="en-US" w:eastAsia="zh-CN" w:bidi="ar-SA"/>
              </w:rPr>
            </w:pPr>
            <w:r>
              <w:rPr>
                <w:rFonts w:hint="eastAsia" w:eastAsia="仿宋_GB2312"/>
                <w:b/>
                <w:sz w:val="24"/>
                <w:szCs w:val="24"/>
              </w:rPr>
              <w:t>责任科室</w:t>
            </w:r>
          </w:p>
        </w:tc>
        <w:tc>
          <w:tcPr>
            <w:tcW w:w="1989" w:type="dxa"/>
            <w:noWrap w:val="0"/>
            <w:vAlign w:val="center"/>
          </w:tcPr>
          <w:p>
            <w:pPr>
              <w:spacing w:line="280" w:lineRule="exact"/>
              <w:jc w:val="center"/>
              <w:rPr>
                <w:rFonts w:hint="default" w:ascii="Times New Roman" w:hAnsi="Times New Roman" w:eastAsia="仿宋_GB2312" w:cs="Times New Roman"/>
                <w:b/>
                <w:kern w:val="2"/>
                <w:sz w:val="24"/>
                <w:szCs w:val="24"/>
                <w:lang w:val="en-US" w:eastAsia="zh-CN" w:bidi="ar-SA"/>
              </w:rPr>
            </w:pPr>
            <w:r>
              <w:rPr>
                <w:rFonts w:hint="eastAsia" w:eastAsia="仿宋_GB2312"/>
                <w:b/>
                <w:sz w:val="24"/>
                <w:szCs w:val="24"/>
              </w:rPr>
              <w:t>责任人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901"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差异化</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指标</w:t>
            </w:r>
          </w:p>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2"/>
                <w:szCs w:val="22"/>
                <w:u w:val="none"/>
                <w:lang w:val="en-US" w:eastAsia="zh-CN" w:bidi="ar"/>
              </w:rPr>
              <w:t>（</w:t>
            </w:r>
            <w:r>
              <w:rPr>
                <w:rFonts w:hint="eastAsia" w:ascii="Times New Roman" w:hAnsi="Times New Roman" w:eastAsia="仿宋_GB2312" w:cs="Times New Roman"/>
                <w:i w:val="0"/>
                <w:color w:val="auto"/>
                <w:kern w:val="0"/>
                <w:sz w:val="22"/>
                <w:szCs w:val="22"/>
                <w:u w:val="none"/>
                <w:lang w:val="en-US" w:eastAsia="zh-CN" w:bidi="ar"/>
              </w:rPr>
              <w:t>345</w:t>
            </w:r>
            <w:r>
              <w:rPr>
                <w:rFonts w:hint="default" w:ascii="Times New Roman" w:hAnsi="Times New Roman" w:eastAsia="仿宋_GB2312" w:cs="Times New Roman"/>
                <w:i w:val="0"/>
                <w:color w:val="auto"/>
                <w:kern w:val="0"/>
                <w:sz w:val="22"/>
                <w:szCs w:val="22"/>
                <w:u w:val="none"/>
                <w:lang w:val="en-US" w:eastAsia="zh-CN" w:bidi="ar"/>
              </w:rPr>
              <w:t>分）</w:t>
            </w:r>
          </w:p>
        </w:tc>
        <w:tc>
          <w:tcPr>
            <w:tcW w:w="118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2023年区委</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工作任务分解</w:t>
            </w: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根据</w:t>
            </w:r>
            <w:r>
              <w:rPr>
                <w:rFonts w:hint="eastAsia" w:ascii="Times New Roman" w:hAnsi="Times New Roman" w:eastAsia="仿宋_GB2312" w:cs="Times New Roman"/>
                <w:i w:val="0"/>
                <w:color w:val="auto"/>
                <w:kern w:val="0"/>
                <w:sz w:val="24"/>
                <w:szCs w:val="24"/>
                <w:u w:val="none"/>
                <w:lang w:val="en-US" w:eastAsia="zh-CN" w:bidi="ar"/>
              </w:rPr>
              <w:t>2023年</w:t>
            </w:r>
            <w:r>
              <w:rPr>
                <w:rFonts w:hint="default" w:ascii="Times New Roman" w:hAnsi="Times New Roman" w:eastAsia="仿宋_GB2312" w:cs="Times New Roman"/>
                <w:i w:val="0"/>
                <w:color w:val="auto"/>
                <w:kern w:val="0"/>
                <w:sz w:val="24"/>
                <w:szCs w:val="24"/>
                <w:u w:val="none"/>
                <w:lang w:val="en-US" w:eastAsia="zh-CN" w:bidi="ar"/>
              </w:rPr>
              <w:t>区委工作要点任务分解进行评估</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30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w:t>
            </w:r>
          </w:p>
        </w:tc>
        <w:tc>
          <w:tcPr>
            <w:tcW w:w="1793"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全局、队</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rPr>
              <w:t>中层以上领导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2023年区政府工作任务分解</w:t>
            </w: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根据</w:t>
            </w:r>
            <w:r>
              <w:rPr>
                <w:rFonts w:hint="default" w:ascii="Times New Roman" w:hAnsi="Times New Roman" w:eastAsia="仿宋_GB2312" w:cs="Times New Roman"/>
                <w:b w:val="0"/>
                <w:bCs w:val="0"/>
                <w:i w:val="0"/>
                <w:color w:val="auto"/>
                <w:kern w:val="0"/>
                <w:sz w:val="24"/>
                <w:szCs w:val="24"/>
                <w:u w:val="none"/>
                <w:lang w:val="en-US" w:eastAsia="zh-CN" w:bidi="ar"/>
              </w:rPr>
              <w:t>厦翔政办〔2023〕</w:t>
            </w:r>
            <w:r>
              <w:rPr>
                <w:rFonts w:hint="eastAsia" w:ascii="Times New Roman" w:hAnsi="Times New Roman" w:eastAsia="仿宋_GB2312" w:cs="Times New Roman"/>
                <w:b w:val="0"/>
                <w:bCs w:val="0"/>
                <w:i w:val="0"/>
                <w:color w:val="auto"/>
                <w:kern w:val="0"/>
                <w:sz w:val="24"/>
                <w:szCs w:val="24"/>
                <w:u w:val="none"/>
                <w:lang w:val="en-US" w:eastAsia="zh-CN" w:bidi="ar"/>
              </w:rPr>
              <w:t>2</w:t>
            </w:r>
            <w:r>
              <w:rPr>
                <w:rFonts w:hint="default" w:ascii="Times New Roman" w:hAnsi="Times New Roman" w:eastAsia="仿宋_GB2312" w:cs="Times New Roman"/>
                <w:b w:val="0"/>
                <w:bCs w:val="0"/>
                <w:i w:val="0"/>
                <w:color w:val="auto"/>
                <w:kern w:val="0"/>
                <w:sz w:val="24"/>
                <w:szCs w:val="24"/>
                <w:u w:val="none"/>
                <w:lang w:val="en-US" w:eastAsia="zh-CN" w:bidi="ar"/>
              </w:rPr>
              <w:t>号文件中各</w:t>
            </w:r>
            <w:r>
              <w:rPr>
                <w:rFonts w:hint="default" w:ascii="Times New Roman" w:hAnsi="Times New Roman" w:eastAsia="仿宋_GB2312" w:cs="Times New Roman"/>
                <w:i w:val="0"/>
                <w:color w:val="auto"/>
                <w:kern w:val="0"/>
                <w:sz w:val="24"/>
                <w:szCs w:val="24"/>
                <w:u w:val="none"/>
                <w:lang w:val="en-US" w:eastAsia="zh-CN" w:bidi="ar"/>
              </w:rPr>
              <w:t>单位具体任务分工进行评估</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30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区政府办</w:t>
            </w:r>
          </w:p>
        </w:tc>
        <w:tc>
          <w:tcPr>
            <w:tcW w:w="1793"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rPr>
              <w:t>调查队</w:t>
            </w:r>
          </w:p>
        </w:tc>
        <w:tc>
          <w:tcPr>
            <w:tcW w:w="1989"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rPr>
              <w:t>曾诸军</w:t>
            </w:r>
            <w:r>
              <w:rPr>
                <w:rFonts w:hint="eastAsia" w:eastAsia="仿宋_GB2312"/>
                <w:bCs/>
                <w:sz w:val="24"/>
                <w:szCs w:val="24"/>
                <w:lang w:eastAsia="zh-CN"/>
              </w:rPr>
              <w:t>、李苹苹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2023年区委常委会会议议定事项跟踪落实情况</w:t>
            </w:r>
          </w:p>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eastAsia" w:ascii="Times New Roman" w:hAnsi="Times New Roman" w:eastAsia="仿宋_GB2312" w:cs="Times New Roman"/>
                <w:b w:val="0"/>
                <w:bCs w:val="0"/>
                <w:i w:val="0"/>
                <w:color w:val="auto"/>
                <w:kern w:val="0"/>
                <w:sz w:val="24"/>
                <w:szCs w:val="24"/>
                <w:highlight w:val="none"/>
                <w:u w:val="none"/>
                <w:lang w:val="en-US" w:eastAsia="zh-CN" w:bidi="ar"/>
              </w:rPr>
              <w:t>（</w:t>
            </w:r>
            <w:r>
              <w:rPr>
                <w:rFonts w:hint="default" w:ascii="Times New Roman" w:hAnsi="Times New Roman" w:eastAsia="仿宋_GB2312" w:cs="Times New Roman"/>
                <w:b w:val="0"/>
                <w:bCs w:val="0"/>
                <w:i w:val="0"/>
                <w:color w:val="auto"/>
                <w:kern w:val="0"/>
                <w:sz w:val="24"/>
                <w:szCs w:val="24"/>
                <w:highlight w:val="none"/>
                <w:u w:val="none"/>
                <w:lang w:val="en-US" w:eastAsia="zh-CN" w:bidi="ar"/>
              </w:rPr>
              <w:t>含“深学争优、敢为争先、实干争效”工作落实情况</w:t>
            </w:r>
            <w:r>
              <w:rPr>
                <w:rFonts w:hint="eastAsia" w:ascii="Times New Roman" w:hAnsi="Times New Roman" w:eastAsia="仿宋_GB2312" w:cs="Times New Roman"/>
                <w:b w:val="0"/>
                <w:bCs w:val="0"/>
                <w:i w:val="0"/>
                <w:color w:val="auto"/>
                <w:kern w:val="0"/>
                <w:sz w:val="24"/>
                <w:szCs w:val="24"/>
                <w:highlight w:val="none"/>
                <w:u w:val="none"/>
                <w:lang w:val="en-US" w:eastAsia="zh-CN" w:bidi="ar"/>
              </w:rPr>
              <w:t>）</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Times New Roman" w:hAnsi="Times New Roman" w:eastAsia="仿宋_GB2312" w:cs="Times New Roman"/>
                <w:i w:val="0"/>
                <w:color w:val="auto"/>
                <w:sz w:val="24"/>
                <w:szCs w:val="24"/>
                <w:u w:val="none"/>
                <w:lang w:val="en-US" w:eastAsia="zh-CN"/>
              </w:rPr>
            </w:pPr>
            <w:r>
              <w:rPr>
                <w:rFonts w:hint="eastAsia" w:ascii="Times New Roman" w:hAnsi="Times New Roman" w:eastAsia="仿宋_GB2312" w:cs="Times New Roman"/>
                <w:i w:val="0"/>
                <w:color w:val="auto"/>
                <w:sz w:val="24"/>
                <w:szCs w:val="24"/>
                <w:u w:val="none"/>
                <w:lang w:val="en-US" w:eastAsia="zh-CN"/>
              </w:rPr>
              <w:t>25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w:t>
            </w:r>
          </w:p>
        </w:tc>
        <w:tc>
          <w:tcPr>
            <w:tcW w:w="1793"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rPr>
              <w:t>综合组牵头各组、队落实</w:t>
            </w:r>
          </w:p>
        </w:tc>
        <w:tc>
          <w:tcPr>
            <w:tcW w:w="1989"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rPr>
              <w:t>根据项目另行确定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2023年区政府常务会会议议定事项跟踪落实情况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Times New Roman" w:hAnsi="Times New Roman" w:eastAsia="仿宋_GB2312" w:cs="Times New Roman"/>
                <w:i w:val="0"/>
                <w:color w:val="auto"/>
                <w:sz w:val="24"/>
                <w:szCs w:val="24"/>
                <w:u w:val="none"/>
                <w:lang w:val="en-US" w:eastAsia="zh-CN"/>
              </w:rPr>
            </w:pPr>
            <w:r>
              <w:rPr>
                <w:rFonts w:hint="eastAsia" w:ascii="Times New Roman" w:hAnsi="Times New Roman" w:eastAsia="仿宋_GB2312" w:cs="Times New Roman"/>
                <w:i w:val="0"/>
                <w:color w:val="auto"/>
                <w:sz w:val="24"/>
                <w:szCs w:val="24"/>
                <w:u w:val="none"/>
                <w:lang w:val="en-US" w:eastAsia="zh-CN"/>
              </w:rPr>
              <w:t>25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区政府办</w:t>
            </w:r>
          </w:p>
        </w:tc>
        <w:tc>
          <w:tcPr>
            <w:tcW w:w="1793"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rPr>
              <w:t>综合组牵头各组、队落实</w:t>
            </w:r>
          </w:p>
        </w:tc>
        <w:tc>
          <w:tcPr>
            <w:tcW w:w="1989"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rPr>
              <w:t>根据项目另行确定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招商引资工作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Times New Roman" w:hAnsi="Times New Roman" w:eastAsia="仿宋_GB2312" w:cs="Times New Roman"/>
                <w:i w:val="0"/>
                <w:color w:val="auto"/>
                <w:sz w:val="24"/>
                <w:szCs w:val="24"/>
                <w:u w:val="none"/>
                <w:lang w:val="en-US" w:eastAsia="zh-CN"/>
              </w:rPr>
            </w:pPr>
            <w:r>
              <w:rPr>
                <w:rFonts w:hint="eastAsia" w:ascii="Times New Roman" w:hAnsi="Times New Roman" w:eastAsia="仿宋_GB2312" w:cs="Times New Roman"/>
                <w:i w:val="0"/>
                <w:color w:val="auto"/>
                <w:sz w:val="24"/>
                <w:szCs w:val="24"/>
                <w:u w:val="none"/>
                <w:lang w:val="en-US" w:eastAsia="zh-CN"/>
              </w:rPr>
              <w:t>30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区商务局</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（区招商办）</w:t>
            </w:r>
          </w:p>
        </w:tc>
        <w:tc>
          <w:tcPr>
            <w:tcW w:w="1793" w:type="dxa"/>
            <w:noWrap w:val="0"/>
            <w:vAlign w:val="bottom"/>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rPr>
              <w:t>全局、队</w:t>
            </w:r>
          </w:p>
        </w:tc>
        <w:tc>
          <w:tcPr>
            <w:tcW w:w="1989"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rPr>
              <w:t>中层以上领导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2023年度主要经济指标评估情况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30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区重大办</w:t>
            </w:r>
          </w:p>
        </w:tc>
        <w:tc>
          <w:tcPr>
            <w:tcW w:w="1793"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bottom"/>
          </w:tcPr>
          <w:p>
            <w:pPr>
              <w:spacing w:line="260" w:lineRule="exact"/>
              <w:ind w:firstLine="480" w:firstLineChars="200"/>
              <w:jc w:val="both"/>
              <w:rPr>
                <w:rFonts w:hint="default" w:ascii="Times New Roman" w:hAnsi="Times New Roman" w:eastAsia="仿宋_GB2312" w:cs="Times New Roman"/>
                <w:bCs/>
                <w:kern w:val="0"/>
                <w:sz w:val="24"/>
                <w:szCs w:val="24"/>
                <w:lang w:val="en-US" w:eastAsia="zh-CN" w:bidi="ar-SA"/>
              </w:rPr>
            </w:pPr>
            <w:r>
              <w:rPr>
                <w:rFonts w:hint="eastAsia" w:eastAsia="仿宋_GB2312"/>
                <w:bCs/>
                <w:sz w:val="24"/>
                <w:szCs w:val="24"/>
                <w:lang w:eastAsia="zh-CN"/>
              </w:rPr>
              <w:t>业务</w:t>
            </w:r>
            <w:r>
              <w:rPr>
                <w:rFonts w:hint="eastAsia" w:eastAsia="仿宋_GB2312"/>
                <w:bCs/>
                <w:sz w:val="24"/>
                <w:szCs w:val="24"/>
              </w:rPr>
              <w:t>组</w:t>
            </w:r>
          </w:p>
        </w:tc>
        <w:tc>
          <w:tcPr>
            <w:tcW w:w="1989" w:type="dxa"/>
            <w:noWrap w:val="0"/>
            <w:vAlign w:val="bottom"/>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sz w:val="24"/>
                <w:szCs w:val="24"/>
              </w:rPr>
              <w:t>黄文献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重大项目领导小组、重大办会议议定事项的办结情况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区重大办</w:t>
            </w:r>
          </w:p>
        </w:tc>
        <w:tc>
          <w:tcPr>
            <w:tcW w:w="1793"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rPr>
              <w:t>全局、队</w:t>
            </w:r>
          </w:p>
        </w:tc>
        <w:tc>
          <w:tcPr>
            <w:tcW w:w="1989"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rPr>
              <w:t>中层以上领导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生态环境保护成效</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highlight w:val="none"/>
                <w:u w:val="none"/>
                <w:lang w:val="en-US" w:eastAsia="zh-CN" w:bidi="ar"/>
              </w:rPr>
              <w:t>区生态环境局</w:t>
            </w:r>
          </w:p>
        </w:tc>
        <w:tc>
          <w:tcPr>
            <w:tcW w:w="1793"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业务组</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黄文献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市对区绩效指标得分情况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区效能督查办</w:t>
            </w:r>
          </w:p>
        </w:tc>
        <w:tc>
          <w:tcPr>
            <w:tcW w:w="1793"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bottom"/>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sz w:val="24"/>
                <w:szCs w:val="24"/>
                <w:lang w:eastAsia="zh-CN"/>
              </w:rPr>
              <w:t>业务</w:t>
            </w:r>
            <w:r>
              <w:rPr>
                <w:rFonts w:hint="eastAsia" w:eastAsia="仿宋_GB2312"/>
                <w:bCs/>
                <w:sz w:val="24"/>
                <w:szCs w:val="24"/>
              </w:rPr>
              <w:t>组</w:t>
            </w:r>
          </w:p>
        </w:tc>
        <w:tc>
          <w:tcPr>
            <w:tcW w:w="1989" w:type="dxa"/>
            <w:noWrap w:val="0"/>
            <w:vAlign w:val="bottom"/>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sz w:val="24"/>
                <w:szCs w:val="24"/>
              </w:rPr>
              <w:t>黄文献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人才工作完成情况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区委组织部</w:t>
            </w:r>
          </w:p>
        </w:tc>
        <w:tc>
          <w:tcPr>
            <w:tcW w:w="1793" w:type="dxa"/>
            <w:noWrap w:val="0"/>
            <w:vAlign w:val="center"/>
          </w:tcPr>
          <w:p>
            <w:pPr>
              <w:spacing w:line="24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color w:val="000000"/>
                <w:kern w:val="0"/>
                <w:sz w:val="24"/>
                <w:szCs w:val="24"/>
                <w:lang w:val="en-US" w:eastAsia="zh-CN"/>
              </w:rPr>
              <w:t>业务组</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黄文献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b w:val="0"/>
                <w:bCs w:val="0"/>
                <w:i w:val="0"/>
                <w:color w:val="auto"/>
                <w:kern w:val="0"/>
                <w:sz w:val="24"/>
                <w:szCs w:val="24"/>
                <w:u w:val="none"/>
                <w:lang w:val="en-US" w:eastAsia="zh-CN" w:bidi="ar"/>
              </w:rPr>
            </w:pPr>
            <w:r>
              <w:rPr>
                <w:rFonts w:hint="default" w:ascii="Times New Roman" w:hAnsi="Times New Roman" w:eastAsia="仿宋_GB2312" w:cs="Times New Roman"/>
                <w:b w:val="0"/>
                <w:bCs w:val="0"/>
                <w:i w:val="0"/>
                <w:color w:val="auto"/>
                <w:kern w:val="0"/>
                <w:sz w:val="24"/>
                <w:szCs w:val="24"/>
                <w:highlight w:val="none"/>
                <w:u w:val="none"/>
                <w:lang w:val="en-US" w:eastAsia="zh-CN" w:bidi="ar"/>
              </w:rPr>
              <w:t>年度统战工作完成情况</w:t>
            </w:r>
            <w:r>
              <w:rPr>
                <w:rFonts w:hint="eastAsia" w:ascii="Times New Roman" w:hAnsi="Times New Roman" w:eastAsia="仿宋_GB2312" w:cs="Times New Roman"/>
                <w:b w:val="0"/>
                <w:bCs w:val="0"/>
                <w:i w:val="0"/>
                <w:color w:val="auto"/>
                <w:kern w:val="0"/>
                <w:sz w:val="24"/>
                <w:szCs w:val="24"/>
                <w:highlight w:val="none"/>
                <w:u w:val="none"/>
                <w:lang w:val="en-US" w:eastAsia="zh-CN" w:bidi="ar"/>
              </w:rPr>
              <w:t>(民族宗教)</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区委统战部</w:t>
            </w:r>
          </w:p>
        </w:tc>
        <w:tc>
          <w:tcPr>
            <w:tcW w:w="1793" w:type="dxa"/>
            <w:noWrap w:val="0"/>
            <w:vAlign w:val="center"/>
          </w:tcPr>
          <w:p>
            <w:pPr>
              <w:spacing w:line="260" w:lineRule="exact"/>
              <w:jc w:val="center"/>
              <w:rPr>
                <w:rFonts w:hint="eastAsia"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eastAsia"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全局、队</w:t>
            </w:r>
          </w:p>
        </w:tc>
        <w:tc>
          <w:tcPr>
            <w:tcW w:w="1989" w:type="dxa"/>
            <w:noWrap w:val="0"/>
            <w:vAlign w:val="center"/>
          </w:tcPr>
          <w:p>
            <w:pPr>
              <w:spacing w:line="260" w:lineRule="exact"/>
              <w:jc w:val="center"/>
              <w:rPr>
                <w:rFonts w:hint="eastAsia" w:ascii="Times New Roman" w:hAnsi="Times New Roman" w:eastAsia="仿宋_GB2312" w:cs="Times New Roman"/>
                <w:bCs/>
                <w:kern w:val="0"/>
                <w:sz w:val="24"/>
                <w:szCs w:val="24"/>
                <w:lang w:val="en-US" w:eastAsia="zh-CN" w:bidi="ar-SA"/>
              </w:rPr>
            </w:pPr>
            <w:r>
              <w:rPr>
                <w:rFonts w:hint="eastAsia" w:eastAsia="仿宋_GB2312"/>
                <w:bCs/>
                <w:kern w:val="0"/>
                <w:sz w:val="24"/>
                <w:szCs w:val="24"/>
              </w:rPr>
              <w:t>中层以上领导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两岸融合发展工作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区委办</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（区委台港澳办）</w:t>
            </w:r>
          </w:p>
        </w:tc>
        <w:tc>
          <w:tcPr>
            <w:tcW w:w="1793" w:type="dxa"/>
            <w:noWrap w:val="0"/>
            <w:vAlign w:val="center"/>
          </w:tcPr>
          <w:p>
            <w:pPr>
              <w:spacing w:line="24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全局、队</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rPr>
              <w:t>中层以上领导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历史遗留财政投融资工程项目财务决算完成情况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区财政局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rPr>
              <w:t>全局、队</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rPr>
              <w:t>中层以上领导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依法落实安全监管职责情况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区应急局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林  晨</w:t>
            </w:r>
          </w:p>
        </w:tc>
        <w:tc>
          <w:tcPr>
            <w:tcW w:w="1776"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bCs/>
                <w:kern w:val="0"/>
                <w:sz w:val="24"/>
                <w:szCs w:val="24"/>
              </w:rPr>
              <w:t>综合组</w:t>
            </w:r>
          </w:p>
        </w:tc>
        <w:tc>
          <w:tcPr>
            <w:tcW w:w="1989"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保障农民工工资支付工作成效</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区人社局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调查队</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李苹苹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禁毒工作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lang w:val="en-US" w:eastAsia="zh-CN"/>
              </w:rPr>
            </w:pPr>
            <w:r>
              <w:rPr>
                <w:rFonts w:hint="eastAsia" w:ascii="Times New Roman" w:hAnsi="Times New Roman" w:eastAsia="仿宋_GB2312" w:cs="Times New Roman"/>
                <w:i w:val="0"/>
                <w:color w:val="auto"/>
                <w:sz w:val="24"/>
                <w:szCs w:val="24"/>
                <w:u w:val="none"/>
                <w:lang w:val="en-US" w:eastAsia="zh-CN"/>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区禁毒办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rPr>
              <w:t>综合组</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共同性</w:t>
            </w:r>
            <w:r>
              <w:rPr>
                <w:rFonts w:hint="default" w:ascii="Times New Roman" w:hAnsi="Times New Roman" w:eastAsia="仿宋_GB2312" w:cs="Times New Roman"/>
                <w:color w:val="auto"/>
                <w:sz w:val="24"/>
                <w:szCs w:val="24"/>
                <w:highlight w:val="none"/>
                <w:lang w:val="en-US" w:eastAsia="zh-CN"/>
              </w:rPr>
              <w:br w:type="textWrapping"/>
            </w:r>
            <w:r>
              <w:rPr>
                <w:rFonts w:hint="default" w:ascii="Times New Roman" w:hAnsi="Times New Roman" w:eastAsia="仿宋_GB2312" w:cs="Times New Roman"/>
                <w:color w:val="auto"/>
                <w:sz w:val="24"/>
                <w:szCs w:val="24"/>
                <w:highlight w:val="none"/>
                <w:lang w:val="en-US" w:eastAsia="zh-CN"/>
              </w:rPr>
              <w:t>指标</w:t>
            </w: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cs="Times New Roman"/>
                <w:color w:val="auto"/>
                <w:sz w:val="24"/>
                <w:szCs w:val="24"/>
              </w:rPr>
            </w:pPr>
            <w:r>
              <w:rPr>
                <w:rFonts w:hint="default" w:ascii="Times New Roman" w:hAnsi="Times New Roman" w:eastAsia="仿宋_GB2312" w:cs="Times New Roman"/>
                <w:color w:val="auto"/>
                <w:sz w:val="22"/>
                <w:szCs w:val="22"/>
                <w:highlight w:val="none"/>
                <w:lang w:val="en-US" w:eastAsia="zh-CN"/>
              </w:rPr>
              <w:t>（</w:t>
            </w:r>
            <w:r>
              <w:rPr>
                <w:rFonts w:hint="eastAsia" w:ascii="Times New Roman" w:hAnsi="Times New Roman" w:eastAsia="仿宋_GB2312" w:cs="Times New Roman"/>
                <w:color w:val="auto"/>
                <w:sz w:val="22"/>
                <w:szCs w:val="22"/>
                <w:highlight w:val="none"/>
                <w:lang w:val="en-US" w:eastAsia="zh-CN"/>
              </w:rPr>
              <w:t>655</w:t>
            </w:r>
            <w:r>
              <w:rPr>
                <w:rFonts w:hint="default" w:ascii="Times New Roman" w:hAnsi="Times New Roman" w:eastAsia="仿宋_GB2312" w:cs="Times New Roman"/>
                <w:color w:val="auto"/>
                <w:sz w:val="22"/>
                <w:szCs w:val="22"/>
                <w:highlight w:val="none"/>
                <w:lang w:val="en-US" w:eastAsia="zh-CN"/>
              </w:rPr>
              <w:t>分）</w:t>
            </w:r>
          </w:p>
        </w:tc>
        <w:tc>
          <w:tcPr>
            <w:tcW w:w="1189"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科学</w:t>
            </w: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cs="Times New Roman"/>
                <w:color w:val="auto"/>
                <w:sz w:val="24"/>
                <w:szCs w:val="24"/>
              </w:rPr>
            </w:pPr>
            <w:r>
              <w:rPr>
                <w:rFonts w:hint="default" w:ascii="Times New Roman" w:hAnsi="Times New Roman" w:eastAsia="仿宋_GB2312" w:cs="Times New Roman"/>
                <w:color w:val="auto"/>
                <w:sz w:val="24"/>
                <w:szCs w:val="24"/>
                <w:highlight w:val="none"/>
                <w:lang w:val="en-US" w:eastAsia="zh-CN"/>
              </w:rPr>
              <w:t>（140分）</w:t>
            </w: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精神文明建设</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eastAsia" w:ascii="Times New Roman" w:hAnsi="Times New Roman" w:eastAsia="仿宋_GB2312" w:cs="Times New Roman"/>
                <w:i w:val="0"/>
                <w:color w:val="auto"/>
                <w:kern w:val="0"/>
                <w:sz w:val="24"/>
                <w:szCs w:val="24"/>
                <w:u w:val="none"/>
                <w:lang w:val="en-US" w:eastAsia="zh-CN" w:bidi="ar"/>
              </w:rPr>
              <w:t>30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区委宣传部</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rPr>
              <w:t>综合组</w:t>
            </w:r>
            <w:r>
              <w:rPr>
                <w:rFonts w:hint="eastAsia" w:eastAsia="仿宋_GB2312"/>
                <w:bCs/>
                <w:kern w:val="0"/>
                <w:sz w:val="24"/>
                <w:szCs w:val="24"/>
                <w:lang w:val="en-US" w:eastAsia="zh-CN"/>
              </w:rPr>
              <w:t>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意识形态工作责任制成效</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区委宣传部</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lang w:eastAsia="zh-CN"/>
              </w:rPr>
              <w:t>党支部</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陈锦端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人大代表建议办理情况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区人大办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rPr>
              <w:t>综合组</w:t>
            </w:r>
            <w:r>
              <w:rPr>
                <w:rFonts w:hint="eastAsia" w:eastAsia="仿宋_GB2312"/>
                <w:bCs/>
                <w:kern w:val="0"/>
                <w:sz w:val="24"/>
                <w:szCs w:val="24"/>
                <w:lang w:val="en-US" w:eastAsia="zh-CN"/>
              </w:rPr>
              <w:t>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政协委员提案办理情况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区政协办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rPr>
              <w:t>综合组</w:t>
            </w:r>
            <w:r>
              <w:rPr>
                <w:rFonts w:hint="eastAsia" w:eastAsia="仿宋_GB2312"/>
                <w:bCs/>
                <w:kern w:val="0"/>
                <w:sz w:val="24"/>
                <w:szCs w:val="24"/>
                <w:lang w:val="en-US" w:eastAsia="zh-CN"/>
              </w:rPr>
              <w:t>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改革创新</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lang w:val="en-US"/>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（区委改革办）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lang w:eastAsia="zh-CN"/>
              </w:rPr>
              <w:t>业务组</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黄文献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kern w:val="0"/>
                <w:sz w:val="24"/>
                <w:szCs w:val="24"/>
                <w:highlight w:val="none"/>
                <w:u w:val="none"/>
                <w:lang w:val="en-US" w:eastAsia="zh-CN" w:bidi="ar"/>
              </w:rPr>
            </w:pPr>
            <w:r>
              <w:rPr>
                <w:rFonts w:hint="default" w:ascii="Times New Roman" w:hAnsi="Times New Roman" w:eastAsia="仿宋_GB2312" w:cs="Times New Roman"/>
                <w:i w:val="0"/>
                <w:color w:val="auto"/>
                <w:kern w:val="0"/>
                <w:sz w:val="24"/>
                <w:szCs w:val="24"/>
                <w:highlight w:val="none"/>
                <w:u w:val="none"/>
                <w:lang w:val="en-US" w:eastAsia="zh-CN" w:bidi="ar"/>
              </w:rPr>
              <w:t>干部教育培训和监督管理工作情况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highlight w:val="none"/>
                <w:u w:val="none"/>
                <w:lang w:val="en-US" w:eastAsia="zh-CN" w:bidi="ar"/>
              </w:rPr>
            </w:pPr>
            <w:r>
              <w:rPr>
                <w:rFonts w:hint="default" w:ascii="Times New Roman" w:hAnsi="Times New Roman" w:eastAsia="仿宋_GB2312" w:cs="Times New Roman"/>
                <w:i w:val="0"/>
                <w:color w:val="auto"/>
                <w:kern w:val="0"/>
                <w:sz w:val="24"/>
                <w:szCs w:val="24"/>
                <w:highlight w:val="none"/>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highlight w:val="none"/>
                <w:u w:val="none"/>
                <w:lang w:val="en-US" w:eastAsia="zh-CN" w:bidi="ar"/>
              </w:rPr>
            </w:pPr>
            <w:r>
              <w:rPr>
                <w:rFonts w:hint="default" w:ascii="Times New Roman" w:hAnsi="Times New Roman" w:eastAsia="仿宋_GB2312" w:cs="Times New Roman"/>
                <w:i w:val="0"/>
                <w:color w:val="auto"/>
                <w:kern w:val="0"/>
                <w:sz w:val="24"/>
                <w:szCs w:val="24"/>
                <w:highlight w:val="none"/>
                <w:u w:val="none"/>
                <w:lang w:val="en-US" w:eastAsia="zh-CN" w:bidi="ar"/>
              </w:rPr>
              <w:t>区委组织部</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lang w:eastAsia="zh-CN"/>
              </w:rPr>
              <w:t>综合组</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左安红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社会信用体系建设（含失信被执行人惩戒联动工作）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区发改局</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区法院</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kern w:val="0"/>
                <w:sz w:val="24"/>
                <w:szCs w:val="24"/>
                <w:lang w:eastAsia="zh-CN"/>
              </w:rPr>
              <w:t>业务组</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罗成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依法</w:t>
            </w: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cs="Times New Roman"/>
                <w:color w:val="auto"/>
                <w:sz w:val="24"/>
                <w:szCs w:val="24"/>
              </w:rPr>
            </w:pPr>
            <w:r>
              <w:rPr>
                <w:rFonts w:hint="default" w:ascii="Times New Roman" w:hAnsi="Times New Roman" w:eastAsia="仿宋_GB2312" w:cs="Times New Roman"/>
                <w:color w:val="auto"/>
                <w:sz w:val="24"/>
                <w:szCs w:val="24"/>
                <w:highlight w:val="none"/>
                <w:lang w:val="en-US" w:eastAsia="zh-CN"/>
              </w:rPr>
              <w:t>（</w:t>
            </w:r>
            <w:r>
              <w:rPr>
                <w:rFonts w:hint="eastAsia" w:ascii="Times New Roman" w:hAnsi="Times New Roman" w:eastAsia="仿宋_GB2312" w:cs="Times New Roman"/>
                <w:color w:val="auto"/>
                <w:sz w:val="24"/>
                <w:szCs w:val="24"/>
                <w:highlight w:val="none"/>
                <w:lang w:val="en-US" w:eastAsia="zh-CN"/>
              </w:rPr>
              <w:t>195</w:t>
            </w:r>
            <w:r>
              <w:rPr>
                <w:rFonts w:hint="default" w:ascii="Times New Roman" w:hAnsi="Times New Roman" w:eastAsia="仿宋_GB2312" w:cs="Times New Roman"/>
                <w:color w:val="auto"/>
                <w:sz w:val="24"/>
                <w:szCs w:val="24"/>
                <w:highlight w:val="none"/>
                <w:lang w:val="en-US" w:eastAsia="zh-CN"/>
              </w:rPr>
              <w:t>分）</w:t>
            </w: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依法行政</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区司法局</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（区委依法治区办）</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区法院</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业务组</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罗成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党务公开、党内法规制度建设</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罗成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政府信息公开、政务公开、电子政务</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lang w:val="en-US"/>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区政府办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行政事业单位预算管理（含</w:t>
            </w:r>
            <w:r>
              <w:rPr>
                <w:rFonts w:hint="eastAsia" w:ascii="仿宋_GB2312" w:hAnsi="仿宋_GB2312" w:eastAsia="仿宋_GB2312" w:cs="仿宋_GB2312"/>
                <w:i w:val="0"/>
                <w:color w:val="auto"/>
                <w:kern w:val="0"/>
                <w:sz w:val="24"/>
                <w:szCs w:val="24"/>
                <w:u w:val="none"/>
                <w:lang w:val="en-US" w:eastAsia="zh-CN" w:bidi="ar"/>
              </w:rPr>
              <w:t>“三公经费”、</w:t>
            </w:r>
            <w:r>
              <w:rPr>
                <w:rFonts w:hint="default" w:ascii="Times New Roman" w:hAnsi="Times New Roman" w:eastAsia="仿宋_GB2312" w:cs="Times New Roman"/>
                <w:i w:val="0"/>
                <w:color w:val="auto"/>
                <w:kern w:val="0"/>
                <w:sz w:val="24"/>
                <w:szCs w:val="24"/>
                <w:u w:val="none"/>
                <w:lang w:val="en-US" w:eastAsia="zh-CN" w:bidi="ar"/>
              </w:rPr>
              <w:t>资产管理及绩效管理）</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区财政局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b w:val="0"/>
                <w:bCs w:val="0"/>
                <w:i w:val="0"/>
                <w:color w:val="auto"/>
                <w:kern w:val="0"/>
                <w:sz w:val="24"/>
                <w:szCs w:val="24"/>
                <w:u w:val="none"/>
                <w:lang w:val="en-US" w:eastAsia="zh-CN" w:bidi="ar"/>
              </w:rPr>
              <w:t>平安建设成效</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30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区委政法委</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公共安全管理</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区公共安全办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ind w:firstLine="480" w:firstLineChars="200"/>
              <w:jc w:val="both"/>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信访事项依法化解率</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区信访局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部门协作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区委编办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退役军人保障工作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区退役军人局</w:t>
            </w:r>
            <w:r>
              <w:rPr>
                <w:rFonts w:hint="eastAsia" w:ascii="Times New Roman" w:hAnsi="Times New Roman" w:eastAsia="仿宋_GB2312" w:cs="Times New Roman"/>
                <w:i w:val="0"/>
                <w:color w:val="auto"/>
                <w:kern w:val="0"/>
                <w:sz w:val="24"/>
                <w:szCs w:val="24"/>
                <w:u w:val="none"/>
                <w:lang w:val="en-US" w:eastAsia="zh-CN" w:bidi="ar"/>
              </w:rPr>
              <w:br w:type="textWrapping"/>
            </w:r>
            <w:r>
              <w:rPr>
                <w:rFonts w:hint="eastAsia" w:ascii="Times New Roman" w:hAnsi="Times New Roman" w:eastAsia="仿宋_GB2312" w:cs="Times New Roman"/>
                <w:i w:val="0"/>
                <w:color w:val="auto"/>
                <w:kern w:val="0"/>
                <w:sz w:val="24"/>
                <w:szCs w:val="24"/>
                <w:u w:val="none"/>
                <w:lang w:val="en-US" w:eastAsia="zh-CN" w:bidi="ar"/>
              </w:rPr>
              <w:t>（区双拥办）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eastAsia"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eastAsia"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eastAsia"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审计结果及整改成效</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区审计局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eastAsia"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eastAsia"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901"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共同性</w:t>
            </w:r>
            <w:r>
              <w:rPr>
                <w:rFonts w:hint="default" w:ascii="Times New Roman" w:hAnsi="Times New Roman" w:eastAsia="仿宋_GB2312" w:cs="Times New Roman"/>
                <w:color w:val="auto"/>
                <w:sz w:val="24"/>
                <w:szCs w:val="24"/>
                <w:highlight w:val="none"/>
                <w:lang w:val="en-US" w:eastAsia="zh-CN"/>
              </w:rPr>
              <w:br w:type="textWrapping"/>
            </w:r>
            <w:r>
              <w:rPr>
                <w:rFonts w:hint="default" w:ascii="Times New Roman" w:hAnsi="Times New Roman" w:eastAsia="仿宋_GB2312" w:cs="Times New Roman"/>
                <w:color w:val="auto"/>
                <w:sz w:val="24"/>
                <w:szCs w:val="24"/>
                <w:highlight w:val="none"/>
                <w:lang w:val="en-US" w:eastAsia="zh-CN"/>
              </w:rPr>
              <w:t>指标</w:t>
            </w: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color w:val="auto"/>
                <w:sz w:val="22"/>
                <w:szCs w:val="22"/>
                <w:highlight w:val="none"/>
                <w:lang w:val="en-US" w:eastAsia="zh-CN"/>
              </w:rPr>
              <w:t>（</w:t>
            </w:r>
            <w:r>
              <w:rPr>
                <w:rFonts w:hint="eastAsia" w:ascii="Times New Roman" w:hAnsi="Times New Roman" w:eastAsia="仿宋_GB2312" w:cs="Times New Roman"/>
                <w:color w:val="auto"/>
                <w:sz w:val="22"/>
                <w:szCs w:val="22"/>
                <w:highlight w:val="none"/>
                <w:lang w:val="en-US" w:eastAsia="zh-CN"/>
              </w:rPr>
              <w:t>655</w:t>
            </w:r>
            <w:r>
              <w:rPr>
                <w:rFonts w:hint="default" w:ascii="Times New Roman" w:hAnsi="Times New Roman" w:eastAsia="仿宋_GB2312" w:cs="Times New Roman"/>
                <w:color w:val="auto"/>
                <w:sz w:val="22"/>
                <w:szCs w:val="22"/>
                <w:highlight w:val="none"/>
                <w:lang w:val="en-US" w:eastAsia="zh-CN"/>
              </w:rPr>
              <w:t>分）</w:t>
            </w:r>
          </w:p>
        </w:tc>
        <w:tc>
          <w:tcPr>
            <w:tcW w:w="1189" w:type="dxa"/>
            <w:vMerge w:val="restart"/>
            <w:noWrap w:val="0"/>
            <w:vAlign w:val="top"/>
          </w:tcPr>
          <w:p>
            <w:pPr>
              <w:keepNext w:val="0"/>
              <w:keepLines w:val="0"/>
              <w:pageBreakBefore w:val="0"/>
              <w:widowControl/>
              <w:kinsoku/>
              <w:wordWrap/>
              <w:overflowPunct/>
              <w:topLinePunct w:val="0"/>
              <w:autoSpaceDE/>
              <w:autoSpaceDN/>
              <w:bidi w:val="0"/>
              <w:adjustRightInd/>
              <w:snapToGrid/>
              <w:spacing w:line="240" w:lineRule="exact"/>
              <w:jc w:val="both"/>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高效</w:t>
            </w: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highlight w:val="none"/>
                <w:u w:val="none"/>
                <w:lang w:val="en-US" w:eastAsia="zh-CN" w:bidi="ar"/>
              </w:rPr>
              <w:t>（</w:t>
            </w:r>
            <w:r>
              <w:rPr>
                <w:rFonts w:hint="eastAsia" w:ascii="Times New Roman" w:hAnsi="Times New Roman" w:eastAsia="仿宋_GB2312" w:cs="Times New Roman"/>
                <w:i w:val="0"/>
                <w:color w:val="auto"/>
                <w:kern w:val="0"/>
                <w:sz w:val="24"/>
                <w:szCs w:val="24"/>
                <w:highlight w:val="none"/>
                <w:u w:val="none"/>
                <w:lang w:val="en-US" w:eastAsia="zh-CN" w:bidi="ar"/>
              </w:rPr>
              <w:t>260</w:t>
            </w:r>
            <w:r>
              <w:rPr>
                <w:rFonts w:hint="default" w:ascii="Times New Roman" w:hAnsi="Times New Roman" w:eastAsia="仿宋_GB2312" w:cs="Times New Roman"/>
                <w:i w:val="0"/>
                <w:color w:val="auto"/>
                <w:kern w:val="0"/>
                <w:sz w:val="24"/>
                <w:szCs w:val="24"/>
                <w:highlight w:val="none"/>
                <w:u w:val="none"/>
                <w:lang w:val="en-US" w:eastAsia="zh-CN" w:bidi="ar"/>
              </w:rPr>
              <w:t>分）</w:t>
            </w: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区委督办件、交办件办理情况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eastAsia"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sz w:val="24"/>
                <w:szCs w:val="24"/>
              </w:rPr>
              <w:t>根据</w:t>
            </w:r>
            <w:r>
              <w:rPr>
                <w:rFonts w:hint="eastAsia" w:eastAsia="仿宋_GB2312"/>
                <w:bCs/>
                <w:sz w:val="24"/>
                <w:szCs w:val="24"/>
                <w:lang w:eastAsia="zh-CN"/>
              </w:rPr>
              <w:t>督办内容</w:t>
            </w:r>
            <w:r>
              <w:rPr>
                <w:rFonts w:hint="eastAsia" w:eastAsia="仿宋_GB2312"/>
                <w:bCs/>
                <w:sz w:val="24"/>
                <w:szCs w:val="24"/>
              </w:rPr>
              <w:t>另行确定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信息报送</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w:t>
            </w:r>
            <w:r>
              <w:rPr>
                <w:rFonts w:hint="eastAsia" w:ascii="Times New Roman" w:hAnsi="Times New Roman" w:eastAsia="仿宋_GB2312" w:cs="Times New Roman"/>
                <w:i w:val="0"/>
                <w:color w:val="auto"/>
                <w:kern w:val="0"/>
                <w:sz w:val="24"/>
                <w:szCs w:val="24"/>
                <w:u w:val="none"/>
                <w:lang w:val="en-US" w:eastAsia="zh-CN" w:bidi="ar"/>
              </w:rPr>
              <w:t>、区政府办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区委文字综合工作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901"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黑体" w:cs="Times New Roman"/>
                <w:i w:val="0"/>
                <w:color w:val="auto"/>
                <w:kern w:val="2"/>
                <w:sz w:val="24"/>
                <w:szCs w:val="24"/>
                <w:u w:val="none"/>
                <w:lang w:val="en-US" w:eastAsia="zh-CN" w:bidi="ar-SA"/>
              </w:rPr>
            </w:pPr>
          </w:p>
        </w:tc>
        <w:tc>
          <w:tcPr>
            <w:tcW w:w="1189"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黑体" w:cs="Times New Roman"/>
                <w:i w:val="0"/>
                <w:color w:val="auto"/>
                <w:kern w:val="2"/>
                <w:sz w:val="24"/>
                <w:szCs w:val="24"/>
                <w:u w:val="none"/>
                <w:lang w:val="en-US" w:eastAsia="zh-CN" w:bidi="ar-SA"/>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黑体" w:cs="Times New Roman"/>
                <w:i w:val="0"/>
                <w:color w:val="auto"/>
                <w:kern w:val="2"/>
                <w:sz w:val="24"/>
                <w:szCs w:val="24"/>
                <w:u w:val="none"/>
                <w:lang w:val="en-US" w:eastAsia="zh-CN" w:bidi="ar-SA"/>
              </w:rPr>
            </w:pPr>
            <w:r>
              <w:rPr>
                <w:rFonts w:hint="default" w:ascii="Times New Roman" w:hAnsi="Times New Roman" w:eastAsia="仿宋_GB2312" w:cs="Times New Roman"/>
                <w:i w:val="0"/>
                <w:color w:val="auto"/>
                <w:kern w:val="0"/>
                <w:sz w:val="24"/>
                <w:szCs w:val="24"/>
                <w:u w:val="none"/>
                <w:lang w:val="en-US" w:eastAsia="zh-CN" w:bidi="ar"/>
              </w:rPr>
              <w:t>档案工作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黑体" w:cs="Times New Roman"/>
                <w:i w:val="0"/>
                <w:color w:val="auto"/>
                <w:kern w:val="2"/>
                <w:sz w:val="24"/>
                <w:szCs w:val="24"/>
                <w:u w:val="none"/>
                <w:lang w:val="en-US" w:eastAsia="zh-CN" w:bidi="ar-SA"/>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黑体" w:cs="Times New Roman"/>
                <w:i w:val="0"/>
                <w:color w:val="auto"/>
                <w:kern w:val="2"/>
                <w:sz w:val="24"/>
                <w:szCs w:val="24"/>
                <w:u w:val="none"/>
                <w:lang w:val="en-US" w:eastAsia="zh-CN" w:bidi="ar-SA"/>
              </w:rPr>
            </w:pPr>
            <w:r>
              <w:rPr>
                <w:rFonts w:hint="default" w:ascii="Times New Roman" w:hAnsi="Times New Roman" w:eastAsia="仿宋_GB2312" w:cs="Times New Roman"/>
                <w:i w:val="0"/>
                <w:color w:val="auto"/>
                <w:kern w:val="0"/>
                <w:sz w:val="24"/>
                <w:szCs w:val="24"/>
                <w:u w:val="none"/>
                <w:lang w:val="en-US" w:eastAsia="zh-CN" w:bidi="ar"/>
              </w:rPr>
              <w:t>区委办</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（区档案局）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保密工作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w:t>
            </w:r>
            <w:r>
              <w:rPr>
                <w:rFonts w:hint="default" w:ascii="Times New Roman" w:hAnsi="Times New Roman" w:eastAsia="仿宋_GB2312" w:cs="Times New Roman"/>
                <w:i w:val="0"/>
                <w:color w:val="auto"/>
                <w:kern w:val="0"/>
                <w:sz w:val="24"/>
                <w:szCs w:val="24"/>
                <w:u w:val="none"/>
                <w:lang w:val="en-US" w:eastAsia="zh-CN" w:bidi="ar"/>
              </w:rPr>
              <w:br w:type="textWrapping"/>
            </w:r>
            <w:r>
              <w:rPr>
                <w:rFonts w:hint="default" w:ascii="Times New Roman" w:hAnsi="Times New Roman" w:eastAsia="仿宋_GB2312" w:cs="Times New Roman"/>
                <w:i w:val="0"/>
                <w:color w:val="auto"/>
                <w:kern w:val="0"/>
                <w:sz w:val="24"/>
                <w:szCs w:val="24"/>
                <w:u w:val="none"/>
                <w:lang w:val="en-US" w:eastAsia="zh-CN" w:bidi="ar"/>
              </w:rPr>
              <w:t>（区委机要保密局）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b w:val="0"/>
                <w:bCs w:val="0"/>
                <w:i w:val="0"/>
                <w:color w:val="auto"/>
                <w:kern w:val="0"/>
                <w:sz w:val="24"/>
                <w:szCs w:val="24"/>
                <w:highlight w:val="none"/>
                <w:u w:val="none"/>
                <w:lang w:val="en-US" w:eastAsia="zh-CN" w:bidi="ar"/>
              </w:rPr>
              <w:t>电子政务自主可控水平</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noWrap w:val="0"/>
            <w:vAlign w:val="center"/>
          </w:tcPr>
          <w:p>
            <w:pPr>
              <w:pStyle w:val="2"/>
              <w:ind w:left="0" w:leftChars="0" w:firstLine="0" w:firstLineChars="0"/>
              <w:jc w:val="center"/>
              <w:rPr>
                <w:rFonts w:hint="default" w:ascii="Times New Roman" w:hAnsi="Times New Roman" w:eastAsia="宋体" w:cs="Times New Roman"/>
                <w:color w:val="auto"/>
                <w:sz w:val="24"/>
                <w:szCs w:val="24"/>
                <w:lang w:val="en-US" w:eastAsia="zh-CN"/>
              </w:rPr>
            </w:pPr>
          </w:p>
        </w:tc>
        <w:tc>
          <w:tcPr>
            <w:tcW w:w="1189" w:type="dxa"/>
            <w:vMerge w:val="continue"/>
            <w:noWrap w:val="0"/>
            <w:vAlign w:val="center"/>
          </w:tcPr>
          <w:p>
            <w:pPr>
              <w:pStyle w:val="2"/>
              <w:ind w:left="0" w:leftChars="0" w:firstLine="0" w:firstLineChars="0"/>
              <w:jc w:val="center"/>
              <w:rPr>
                <w:rFonts w:hint="default" w:ascii="Times New Roman" w:hAnsi="Times New Roman" w:cs="Times New Roman"/>
                <w:color w:val="auto"/>
                <w:sz w:val="24"/>
                <w:szCs w:val="24"/>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公文处理</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区委办、区政府办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cs="Times New Roman"/>
                <w:bCs/>
                <w:kern w:val="0"/>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区政府督办件、交办件办理情况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区政府办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综合组牵头</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sz w:val="24"/>
                <w:szCs w:val="24"/>
              </w:rPr>
              <w:t>根据</w:t>
            </w:r>
            <w:r>
              <w:rPr>
                <w:rFonts w:hint="eastAsia" w:eastAsia="仿宋_GB2312"/>
                <w:bCs/>
                <w:sz w:val="24"/>
                <w:szCs w:val="24"/>
                <w:lang w:eastAsia="zh-CN"/>
              </w:rPr>
              <w:t>督办内容</w:t>
            </w:r>
            <w:r>
              <w:rPr>
                <w:rFonts w:hint="eastAsia" w:eastAsia="仿宋_GB2312"/>
                <w:bCs/>
                <w:sz w:val="24"/>
                <w:szCs w:val="24"/>
              </w:rPr>
              <w:t>另行确定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值班值守情况</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eastAsia" w:ascii="Times New Roman" w:hAnsi="Times New Roman" w:eastAsia="仿宋_GB2312" w:cs="Times New Roman"/>
                <w:i w:val="0"/>
                <w:color w:val="auto"/>
                <w:kern w:val="0"/>
                <w:sz w:val="24"/>
                <w:szCs w:val="24"/>
                <w:u w:val="none"/>
                <w:lang w:val="en-US" w:eastAsia="zh-CN" w:bidi="ar"/>
              </w:rPr>
              <w:t>15</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区总值班室</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widowControl/>
              <w:spacing w:line="24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lang w:eastAsia="zh-CN"/>
              </w:rPr>
              <w:t>综合组牵头</w:t>
            </w:r>
          </w:p>
        </w:tc>
        <w:tc>
          <w:tcPr>
            <w:tcW w:w="1989" w:type="dxa"/>
            <w:noWrap w:val="0"/>
            <w:vAlign w:val="center"/>
          </w:tcPr>
          <w:p>
            <w:pPr>
              <w:widowControl/>
              <w:spacing w:line="24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cs="Times New Roman"/>
                <w:bCs/>
                <w:kern w:val="2"/>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highlight w:val="none"/>
                <w:u w:val="none"/>
                <w:lang w:val="en-US" w:eastAsia="zh-CN" w:bidi="ar"/>
              </w:rPr>
            </w:pPr>
            <w:r>
              <w:rPr>
                <w:rFonts w:hint="eastAsia" w:ascii="Times New Roman" w:hAnsi="Times New Roman" w:eastAsia="仿宋_GB2312" w:cs="Times New Roman"/>
                <w:i w:val="0"/>
                <w:color w:val="auto"/>
                <w:kern w:val="0"/>
                <w:sz w:val="24"/>
                <w:szCs w:val="24"/>
                <w:highlight w:val="none"/>
                <w:u w:val="none"/>
                <w:lang w:val="en-US" w:eastAsia="zh-CN" w:bidi="ar"/>
              </w:rPr>
              <w:t>政务服务效能</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highlight w:val="none"/>
                <w:u w:val="none"/>
                <w:lang w:val="en-US" w:eastAsia="zh-CN" w:bidi="ar"/>
              </w:rPr>
            </w:pPr>
            <w:r>
              <w:rPr>
                <w:rFonts w:hint="eastAsia" w:ascii="Times New Roman" w:hAnsi="Times New Roman" w:eastAsia="仿宋_GB2312" w:cs="Times New Roman"/>
                <w:i w:val="0"/>
                <w:color w:val="auto"/>
                <w:kern w:val="0"/>
                <w:sz w:val="24"/>
                <w:szCs w:val="24"/>
                <w:highlight w:val="none"/>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highlight w:val="none"/>
                <w:u w:val="none"/>
                <w:lang w:val="en-US" w:eastAsia="zh-CN" w:bidi="ar"/>
              </w:rPr>
            </w:pPr>
            <w:r>
              <w:rPr>
                <w:rFonts w:hint="default" w:ascii="Times New Roman" w:hAnsi="Times New Roman" w:eastAsia="仿宋_GB2312" w:cs="Times New Roman"/>
                <w:i w:val="0"/>
                <w:color w:val="auto"/>
                <w:kern w:val="0"/>
                <w:sz w:val="24"/>
                <w:szCs w:val="24"/>
                <w:highlight w:val="none"/>
                <w:u w:val="none"/>
                <w:lang w:val="en-US" w:eastAsia="zh-CN" w:bidi="ar"/>
              </w:rPr>
              <w:t>区审批局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widowControl/>
              <w:spacing w:line="24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lang w:eastAsia="zh-CN"/>
              </w:rPr>
              <w:t>综合组牵头</w:t>
            </w:r>
          </w:p>
        </w:tc>
        <w:tc>
          <w:tcPr>
            <w:tcW w:w="1989" w:type="dxa"/>
            <w:noWrap w:val="0"/>
            <w:vAlign w:val="center"/>
          </w:tcPr>
          <w:p>
            <w:pPr>
              <w:widowControl/>
              <w:spacing w:line="24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cs="Times New Roman"/>
                <w:bCs/>
                <w:kern w:val="2"/>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营商环境指数</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区发改局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林  晨</w:t>
            </w:r>
          </w:p>
        </w:tc>
        <w:tc>
          <w:tcPr>
            <w:tcW w:w="1776"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业务组</w:t>
            </w:r>
          </w:p>
        </w:tc>
        <w:tc>
          <w:tcPr>
            <w:tcW w:w="1989" w:type="dxa"/>
            <w:noWrap w:val="0"/>
            <w:vAlign w:val="center"/>
          </w:tcPr>
          <w:p>
            <w:pPr>
              <w:spacing w:line="26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黄文献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default" w:ascii="Times New Roman" w:hAnsi="Times New Roman" w:eastAsia="仿宋_GB2312" w:cs="Times New Roman"/>
                <w:i w:val="0"/>
                <w:color w:val="auto"/>
                <w:kern w:val="0"/>
                <w:sz w:val="24"/>
                <w:szCs w:val="24"/>
                <w:u w:val="none"/>
                <w:lang w:val="en-US" w:eastAsia="zh-CN" w:bidi="ar"/>
              </w:rPr>
              <w:t>机关效能建设</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区效能督查办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widowControl/>
              <w:spacing w:line="24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lang w:eastAsia="zh-CN"/>
              </w:rPr>
              <w:t>综合组牵头</w:t>
            </w:r>
          </w:p>
        </w:tc>
        <w:tc>
          <w:tcPr>
            <w:tcW w:w="1989" w:type="dxa"/>
            <w:noWrap w:val="0"/>
            <w:vAlign w:val="center"/>
          </w:tcPr>
          <w:p>
            <w:pPr>
              <w:widowControl/>
              <w:spacing w:line="24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cs="Times New Roman"/>
                <w:bCs/>
                <w:kern w:val="2"/>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shd w:val="clear" w:color="auto" w:fill="auto"/>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shd w:val="clear" w:color="auto" w:fill="auto"/>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left"/>
              <w:textAlignment w:val="center"/>
              <w:rPr>
                <w:rFonts w:hint="default" w:ascii="Times New Roman" w:hAnsi="Times New Roman" w:eastAsia="仿宋_GB2312" w:cs="Times New Roman"/>
                <w:i w:val="0"/>
                <w:color w:val="auto"/>
                <w:kern w:val="0"/>
                <w:sz w:val="24"/>
                <w:szCs w:val="24"/>
                <w:u w:val="none"/>
                <w:shd w:val="clear" w:color="auto" w:fill="auto"/>
                <w:lang w:val="en-US" w:eastAsia="zh-CN" w:bidi="ar"/>
              </w:rPr>
            </w:pPr>
            <w:r>
              <w:rPr>
                <w:rFonts w:hint="default" w:ascii="Times New Roman" w:hAnsi="Times New Roman" w:eastAsia="仿宋_GB2312" w:cs="Times New Roman"/>
                <w:i w:val="0"/>
                <w:color w:val="auto"/>
                <w:kern w:val="0"/>
                <w:sz w:val="24"/>
                <w:szCs w:val="24"/>
                <w:u w:val="none"/>
                <w:shd w:val="clear" w:color="auto" w:fill="auto"/>
                <w:lang w:val="en-US" w:eastAsia="zh-CN" w:bidi="ar"/>
              </w:rPr>
              <w:t>12345热线群众诉求办理情况</w:t>
            </w:r>
          </w:p>
        </w:tc>
        <w:tc>
          <w:tcPr>
            <w:tcW w:w="824"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shd w:val="clear" w:color="auto" w:fill="auto"/>
                <w:lang w:val="en-US" w:eastAsia="zh-CN" w:bidi="ar"/>
              </w:rPr>
            </w:pPr>
            <w:r>
              <w:rPr>
                <w:rFonts w:hint="default" w:ascii="Times New Roman" w:hAnsi="Times New Roman" w:eastAsia="仿宋_GB2312" w:cs="Times New Roman"/>
                <w:i w:val="0"/>
                <w:color w:val="auto"/>
                <w:kern w:val="0"/>
                <w:sz w:val="24"/>
                <w:szCs w:val="24"/>
                <w:u w:val="none"/>
                <w:shd w:val="clear" w:color="auto" w:fill="auto"/>
                <w:lang w:val="en-US" w:eastAsia="zh-CN" w:bidi="ar"/>
              </w:rPr>
              <w:t>20</w:t>
            </w:r>
          </w:p>
        </w:tc>
        <w:tc>
          <w:tcPr>
            <w:tcW w:w="248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shd w:val="clear" w:color="auto" w:fill="auto"/>
                <w:lang w:val="en-US" w:eastAsia="zh-CN" w:bidi="ar"/>
              </w:rPr>
            </w:pPr>
            <w:r>
              <w:rPr>
                <w:rFonts w:hint="default" w:ascii="Times New Roman" w:hAnsi="Times New Roman" w:eastAsia="仿宋_GB2312" w:cs="Times New Roman"/>
                <w:i w:val="0"/>
                <w:color w:val="auto"/>
                <w:kern w:val="0"/>
                <w:sz w:val="24"/>
                <w:szCs w:val="24"/>
                <w:u w:val="none"/>
                <w:shd w:val="clear" w:color="auto" w:fill="auto"/>
                <w:lang w:val="en-US" w:eastAsia="zh-CN" w:bidi="ar"/>
              </w:rPr>
              <w:t>区政府办</w:t>
            </w:r>
          </w:p>
        </w:tc>
        <w:tc>
          <w:tcPr>
            <w:tcW w:w="1793" w:type="dxa"/>
            <w:shd w:val="clear" w:color="auto" w:fill="FFFFFF"/>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shd w:val="clear" w:color="auto" w:fill="auto"/>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shd w:val="clear" w:color="auto" w:fill="FFFFFF"/>
            <w:noWrap w:val="0"/>
            <w:vAlign w:val="center"/>
          </w:tcPr>
          <w:p>
            <w:pPr>
              <w:widowControl/>
              <w:spacing w:line="240" w:lineRule="exact"/>
              <w:jc w:val="center"/>
              <w:rPr>
                <w:rFonts w:hint="default" w:ascii="Times New Roman" w:hAnsi="Times New Roman" w:eastAsia="仿宋_GB2312" w:cs="Times New Roman"/>
                <w:bCs/>
                <w:kern w:val="2"/>
                <w:sz w:val="24"/>
                <w:szCs w:val="24"/>
                <w:shd w:val="clear" w:color="auto" w:fill="auto"/>
                <w:lang w:val="en-US" w:eastAsia="zh-CN" w:bidi="ar-SA"/>
              </w:rPr>
            </w:pPr>
            <w:r>
              <w:rPr>
                <w:rFonts w:hint="eastAsia" w:eastAsia="仿宋_GB2312"/>
                <w:bCs/>
                <w:sz w:val="24"/>
                <w:szCs w:val="24"/>
                <w:shd w:val="clear" w:color="auto" w:fill="auto"/>
                <w:lang w:eastAsia="zh-CN"/>
              </w:rPr>
              <w:t>综合组牵头</w:t>
            </w:r>
          </w:p>
        </w:tc>
        <w:tc>
          <w:tcPr>
            <w:tcW w:w="1989" w:type="dxa"/>
            <w:shd w:val="clear" w:color="auto" w:fill="FFFFFF"/>
            <w:noWrap w:val="0"/>
            <w:vAlign w:val="center"/>
          </w:tcPr>
          <w:p>
            <w:pPr>
              <w:widowControl/>
              <w:spacing w:line="240" w:lineRule="exact"/>
              <w:jc w:val="center"/>
              <w:rPr>
                <w:rFonts w:hint="default" w:ascii="Times New Roman" w:hAnsi="Times New Roman" w:eastAsia="仿宋_GB2312" w:cs="Times New Roman"/>
                <w:bCs/>
                <w:kern w:val="2"/>
                <w:sz w:val="24"/>
                <w:szCs w:val="24"/>
                <w:shd w:val="clear" w:color="auto" w:fill="auto"/>
                <w:lang w:val="en-US" w:eastAsia="zh-CN" w:bidi="ar-SA"/>
              </w:rPr>
            </w:pPr>
            <w:r>
              <w:rPr>
                <w:rFonts w:hint="eastAsia" w:eastAsia="仿宋_GB2312" w:cs="Times New Roman"/>
                <w:bCs/>
                <w:kern w:val="2"/>
                <w:sz w:val="24"/>
                <w:szCs w:val="24"/>
                <w:shd w:val="clear" w:color="auto" w:fill="auto"/>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建设节约型机关</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10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区机关事务管理局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widowControl/>
              <w:spacing w:line="24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bCs/>
                <w:sz w:val="24"/>
                <w:szCs w:val="24"/>
                <w:lang w:eastAsia="zh-CN"/>
              </w:rPr>
              <w:t>综合组牵头</w:t>
            </w:r>
          </w:p>
        </w:tc>
        <w:tc>
          <w:tcPr>
            <w:tcW w:w="1989" w:type="dxa"/>
            <w:noWrap w:val="0"/>
            <w:vAlign w:val="center"/>
          </w:tcPr>
          <w:p>
            <w:pPr>
              <w:widowControl/>
              <w:spacing w:line="240" w:lineRule="exact"/>
              <w:jc w:val="center"/>
              <w:rPr>
                <w:rFonts w:hint="default" w:ascii="Times New Roman" w:hAnsi="Times New Roman" w:eastAsia="仿宋_GB2312" w:cs="Times New Roman"/>
                <w:bCs/>
                <w:kern w:val="2"/>
                <w:sz w:val="24"/>
                <w:szCs w:val="24"/>
                <w:lang w:val="en-US" w:eastAsia="zh-CN" w:bidi="ar-SA"/>
              </w:rPr>
            </w:pPr>
            <w:r>
              <w:rPr>
                <w:rFonts w:hint="eastAsia" w:eastAsia="仿宋_GB2312" w:cs="Times New Roman"/>
                <w:bCs/>
                <w:kern w:val="2"/>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b w:val="0"/>
                <w:bCs w:val="0"/>
                <w:i w:val="0"/>
                <w:color w:val="auto"/>
                <w:kern w:val="0"/>
                <w:sz w:val="24"/>
                <w:szCs w:val="24"/>
                <w:highlight w:val="none"/>
                <w:u w:val="none"/>
                <w:lang w:val="en-US" w:eastAsia="zh-CN" w:bidi="ar"/>
              </w:rPr>
              <w:t>慢性病示范区建设工作</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10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ascii="Times New Roman" w:hAnsi="Times New Roman" w:eastAsia="仿宋_GB2312" w:cs="Times New Roman"/>
                <w:i w:val="0"/>
                <w:color w:val="auto"/>
                <w:kern w:val="0"/>
                <w:sz w:val="24"/>
                <w:szCs w:val="24"/>
                <w:u w:val="none"/>
                <w:lang w:val="en-US" w:eastAsia="zh-CN" w:bidi="ar"/>
              </w:rPr>
              <w:t>区卫健局</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widowControl/>
              <w:spacing w:line="240" w:lineRule="exact"/>
              <w:jc w:val="center"/>
              <w:rPr>
                <w:rFonts w:hint="eastAsia" w:ascii="Times New Roman" w:hAnsi="Times New Roman" w:eastAsia="仿宋_GB2312" w:cs="Times New Roman"/>
                <w:bCs/>
                <w:kern w:val="2"/>
                <w:sz w:val="24"/>
                <w:szCs w:val="24"/>
                <w:lang w:val="en-US" w:eastAsia="zh-CN" w:bidi="ar-SA"/>
              </w:rPr>
            </w:pPr>
            <w:r>
              <w:rPr>
                <w:rFonts w:hint="eastAsia" w:eastAsia="仿宋_GB2312"/>
                <w:bCs/>
                <w:sz w:val="24"/>
                <w:szCs w:val="24"/>
                <w:lang w:eastAsia="zh-CN"/>
              </w:rPr>
              <w:t>综合组牵头</w:t>
            </w:r>
          </w:p>
        </w:tc>
        <w:tc>
          <w:tcPr>
            <w:tcW w:w="1989" w:type="dxa"/>
            <w:noWrap w:val="0"/>
            <w:vAlign w:val="center"/>
          </w:tcPr>
          <w:p>
            <w:pPr>
              <w:widowControl/>
              <w:spacing w:line="240" w:lineRule="exact"/>
              <w:jc w:val="center"/>
              <w:rPr>
                <w:rFonts w:hint="eastAsia" w:ascii="Times New Roman" w:hAnsi="Times New Roman" w:eastAsia="仿宋_GB2312" w:cs="Times New Roman"/>
                <w:bCs/>
                <w:kern w:val="2"/>
                <w:sz w:val="24"/>
                <w:szCs w:val="24"/>
                <w:lang w:val="en-US" w:eastAsia="zh-CN" w:bidi="ar-SA"/>
              </w:rPr>
            </w:pPr>
            <w:r>
              <w:rPr>
                <w:rFonts w:hint="eastAsia" w:eastAsia="仿宋_GB2312" w:cs="Times New Roman"/>
                <w:bCs/>
                <w:kern w:val="2"/>
                <w:sz w:val="24"/>
                <w:szCs w:val="24"/>
                <w:lang w:val="en-US" w:eastAsia="zh-CN" w:bidi="ar-SA"/>
              </w:rPr>
              <w:t>翁莉萍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restart"/>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color w:val="auto"/>
                <w:sz w:val="24"/>
                <w:szCs w:val="24"/>
                <w:highlight w:val="none"/>
                <w:lang w:val="en-US" w:eastAsia="zh-CN"/>
              </w:rPr>
            </w:pPr>
            <w:r>
              <w:rPr>
                <w:rFonts w:hint="default" w:ascii="Times New Roman" w:hAnsi="Times New Roman" w:eastAsia="仿宋_GB2312" w:cs="Times New Roman"/>
                <w:color w:val="auto"/>
                <w:sz w:val="24"/>
                <w:szCs w:val="24"/>
                <w:highlight w:val="none"/>
                <w:lang w:val="en-US" w:eastAsia="zh-CN"/>
              </w:rPr>
              <w:t>廉洁</w:t>
            </w:r>
          </w:p>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cs="Times New Roman"/>
                <w:color w:val="auto"/>
                <w:sz w:val="24"/>
                <w:szCs w:val="24"/>
              </w:rPr>
            </w:pPr>
            <w:r>
              <w:rPr>
                <w:rFonts w:hint="default" w:ascii="Times New Roman" w:hAnsi="Times New Roman" w:eastAsia="仿宋_GB2312" w:cs="Times New Roman"/>
                <w:color w:val="auto"/>
                <w:sz w:val="24"/>
                <w:szCs w:val="24"/>
                <w:highlight w:val="none"/>
                <w:lang w:val="en-US" w:eastAsia="zh-CN"/>
              </w:rPr>
              <w:t>（60分）</w:t>
            </w: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落实全面从严治党主体责任</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区委办</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widowControl/>
              <w:spacing w:line="24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sz w:val="24"/>
                <w:szCs w:val="24"/>
                <w:lang w:eastAsia="zh-CN"/>
              </w:rPr>
              <w:t>党支部</w:t>
            </w:r>
          </w:p>
        </w:tc>
        <w:tc>
          <w:tcPr>
            <w:tcW w:w="1989" w:type="dxa"/>
            <w:noWrap w:val="0"/>
            <w:vAlign w:val="center"/>
          </w:tcPr>
          <w:p>
            <w:pPr>
              <w:widowControl/>
              <w:spacing w:line="24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eastAsia="zh-CN"/>
              </w:rPr>
              <w:t>左安红</w:t>
            </w:r>
            <w:r>
              <w:rPr>
                <w:rFonts w:hint="eastAsia" w:eastAsia="仿宋_GB2312"/>
                <w:bCs/>
                <w:sz w:val="24"/>
                <w:szCs w:val="24"/>
                <w:lang w:eastAsia="zh-CN"/>
              </w:rPr>
              <w:t>、罗成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严守党的纪律</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区纪委监委</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widowControl/>
              <w:spacing w:line="24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sz w:val="24"/>
                <w:szCs w:val="24"/>
                <w:lang w:eastAsia="zh-CN"/>
              </w:rPr>
              <w:t>党支部</w:t>
            </w:r>
          </w:p>
        </w:tc>
        <w:tc>
          <w:tcPr>
            <w:tcW w:w="1989" w:type="dxa"/>
            <w:noWrap w:val="0"/>
            <w:vAlign w:val="center"/>
          </w:tcPr>
          <w:p>
            <w:pPr>
              <w:widowControl/>
              <w:spacing w:line="24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罗  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901"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1189" w:type="dxa"/>
            <w:vMerge w:val="continue"/>
            <w:noWrap w:val="0"/>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Times New Roman" w:hAnsi="Times New Roman" w:eastAsia="仿宋_GB2312" w:cs="Times New Roman"/>
                <w:i w:val="0"/>
                <w:color w:val="auto"/>
                <w:sz w:val="24"/>
                <w:szCs w:val="24"/>
                <w:u w:val="none"/>
              </w:rPr>
            </w:pPr>
          </w:p>
        </w:tc>
        <w:tc>
          <w:tcPr>
            <w:tcW w:w="3121"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落实中央八项规定精神，持之以恒纠正</w:t>
            </w:r>
            <w:r>
              <w:rPr>
                <w:rFonts w:hint="eastAsia" w:ascii="仿宋_GB2312" w:hAnsi="仿宋_GB2312" w:eastAsia="仿宋_GB2312" w:cs="仿宋_GB2312"/>
                <w:i w:val="0"/>
                <w:color w:val="auto"/>
                <w:kern w:val="0"/>
                <w:sz w:val="24"/>
                <w:szCs w:val="24"/>
                <w:u w:val="none"/>
                <w:lang w:val="en-US" w:eastAsia="zh-CN" w:bidi="ar"/>
              </w:rPr>
              <w:t>“四风”</w:t>
            </w:r>
          </w:p>
        </w:tc>
        <w:tc>
          <w:tcPr>
            <w:tcW w:w="824"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20</w:t>
            </w:r>
          </w:p>
        </w:tc>
        <w:tc>
          <w:tcPr>
            <w:tcW w:w="248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Lines="0" w:after="0" w:afterLines="0" w:line="280" w:lineRule="exact"/>
              <w:ind w:left="0" w:leftChars="0" w:right="0" w:rightChars="0" w:firstLine="0" w:firstLineChars="0"/>
              <w:jc w:val="center"/>
              <w:textAlignment w:val="center"/>
              <w:outlineLvl w:val="9"/>
              <w:rPr>
                <w:rFonts w:hint="default" w:ascii="Times New Roman" w:hAnsi="Times New Roman" w:eastAsia="仿宋_GB2312" w:cs="Times New Roman"/>
                <w:i w:val="0"/>
                <w:color w:val="auto"/>
                <w:sz w:val="24"/>
                <w:szCs w:val="24"/>
                <w:u w:val="none"/>
              </w:rPr>
            </w:pPr>
            <w:r>
              <w:rPr>
                <w:rFonts w:hint="default" w:ascii="Times New Roman" w:hAnsi="Times New Roman" w:eastAsia="仿宋_GB2312" w:cs="Times New Roman"/>
                <w:i w:val="0"/>
                <w:color w:val="auto"/>
                <w:kern w:val="0"/>
                <w:sz w:val="24"/>
                <w:szCs w:val="24"/>
                <w:u w:val="none"/>
                <w:lang w:val="en-US" w:eastAsia="zh-CN" w:bidi="ar"/>
              </w:rPr>
              <w:t>区纪委监委</w:t>
            </w:r>
          </w:p>
        </w:tc>
        <w:tc>
          <w:tcPr>
            <w:tcW w:w="1793" w:type="dxa"/>
            <w:noWrap w:val="0"/>
            <w:vAlign w:val="center"/>
          </w:tcPr>
          <w:p>
            <w:pPr>
              <w:keepNext w:val="0"/>
              <w:keepLines w:val="0"/>
              <w:pageBreakBefore w:val="0"/>
              <w:widowControl/>
              <w:suppressLineNumbers w:val="0"/>
              <w:kinsoku/>
              <w:wordWrap/>
              <w:overflowPunct/>
              <w:topLinePunct w:val="0"/>
              <w:autoSpaceDE/>
              <w:autoSpaceDN/>
              <w:bidi w:val="0"/>
              <w:adjustRightInd/>
              <w:snapToGrid/>
              <w:spacing w:before="0" w:beforeLines="0" w:after="0" w:afterLines="0" w:line="280" w:lineRule="exact"/>
              <w:ind w:left="0" w:leftChars="0" w:right="0" w:rightChars="0" w:firstLine="0" w:firstLineChars="0"/>
              <w:jc w:val="center"/>
              <w:textAlignment w:val="center"/>
              <w:outlineLvl w:val="9"/>
              <w:rPr>
                <w:rFonts w:hint="default" w:ascii="Times New Roman" w:hAnsi="Times New Roman" w:eastAsia="仿宋_GB2312" w:cs="Times New Roman"/>
                <w:i w:val="0"/>
                <w:color w:val="auto"/>
                <w:kern w:val="0"/>
                <w:sz w:val="24"/>
                <w:szCs w:val="24"/>
                <w:u w:val="none"/>
                <w:lang w:val="en-US" w:eastAsia="zh-CN" w:bidi="ar"/>
              </w:rPr>
            </w:pPr>
            <w:r>
              <w:rPr>
                <w:rFonts w:hint="eastAsia" w:eastAsia="仿宋_GB2312" w:cs="Times New Roman"/>
                <w:i w:val="0"/>
                <w:color w:val="auto"/>
                <w:kern w:val="0"/>
                <w:sz w:val="24"/>
                <w:szCs w:val="24"/>
                <w:u w:val="none"/>
                <w:lang w:val="en-US" w:eastAsia="zh-CN" w:bidi="ar"/>
              </w:rPr>
              <w:t>黄  薇</w:t>
            </w:r>
          </w:p>
        </w:tc>
        <w:tc>
          <w:tcPr>
            <w:tcW w:w="1776" w:type="dxa"/>
            <w:noWrap w:val="0"/>
            <w:vAlign w:val="center"/>
          </w:tcPr>
          <w:p>
            <w:pPr>
              <w:widowControl/>
              <w:spacing w:line="24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sz w:val="24"/>
                <w:szCs w:val="24"/>
                <w:lang w:eastAsia="zh-CN"/>
              </w:rPr>
              <w:t>党支部</w:t>
            </w:r>
          </w:p>
        </w:tc>
        <w:tc>
          <w:tcPr>
            <w:tcW w:w="1989" w:type="dxa"/>
            <w:noWrap w:val="0"/>
            <w:vAlign w:val="center"/>
          </w:tcPr>
          <w:p>
            <w:pPr>
              <w:widowControl/>
              <w:spacing w:line="240" w:lineRule="exact"/>
              <w:jc w:val="center"/>
              <w:rPr>
                <w:rFonts w:hint="default" w:ascii="Times New Roman" w:hAnsi="Times New Roman" w:eastAsia="仿宋_GB2312" w:cs="Times New Roman"/>
                <w:bCs/>
                <w:kern w:val="0"/>
                <w:sz w:val="24"/>
                <w:szCs w:val="24"/>
                <w:lang w:val="en-US" w:eastAsia="zh-CN" w:bidi="ar-SA"/>
              </w:rPr>
            </w:pPr>
            <w:r>
              <w:rPr>
                <w:rFonts w:hint="eastAsia" w:eastAsia="仿宋_GB2312"/>
                <w:bCs/>
                <w:kern w:val="0"/>
                <w:sz w:val="24"/>
                <w:szCs w:val="24"/>
                <w:lang w:val="en-US" w:eastAsia="zh-CN"/>
              </w:rPr>
              <w:t>罗  成</w:t>
            </w:r>
          </w:p>
        </w:tc>
      </w:tr>
    </w:tbl>
    <w:p>
      <w:pPr>
        <w:tabs>
          <w:tab w:val="left" w:pos="1470"/>
        </w:tabs>
        <w:snapToGrid w:val="0"/>
        <w:spacing w:line="600" w:lineRule="exact"/>
        <w:ind w:firstLine="1600" w:firstLineChars="500"/>
        <w:jc w:val="left"/>
        <w:rPr>
          <w:rFonts w:hint="eastAsia" w:eastAsia="仿宋_GB2312"/>
          <w:kern w:val="0"/>
          <w:sz w:val="32"/>
          <w:szCs w:val="32"/>
          <w:lang w:val="en-US" w:eastAsia="zh-CN"/>
        </w:rPr>
        <w:sectPr>
          <w:pgSz w:w="16840" w:h="11907" w:orient="landscape"/>
          <w:pgMar w:top="1531" w:right="1531" w:bottom="1417" w:left="1418" w:header="851" w:footer="992" w:gutter="0"/>
          <w:pgNumType w:fmt="numberInDash"/>
          <w:cols w:space="0" w:num="1"/>
          <w:rtlGutter w:val="0"/>
          <w:docGrid w:type="lines" w:linePitch="319" w:charSpace="0"/>
        </w:sectPr>
      </w:pPr>
    </w:p>
    <w:p>
      <w:pPr>
        <w:keepNext w:val="0"/>
        <w:keepLines w:val="0"/>
        <w:pageBreakBefore w:val="0"/>
        <w:widowControl w:val="0"/>
        <w:kinsoku/>
        <w:wordWrap/>
        <w:overflowPunct/>
        <w:topLinePunct w:val="0"/>
        <w:autoSpaceDE/>
        <w:autoSpaceDN/>
        <w:bidi w:val="0"/>
        <w:adjustRightInd/>
        <w:snapToGrid/>
        <w:spacing w:before="0" w:beforeLines="0" w:after="0" w:afterLines="0" w:line="500" w:lineRule="exact"/>
        <w:ind w:right="0" w:rightChars="0"/>
        <w:jc w:val="left"/>
        <w:textAlignment w:val="auto"/>
        <w:outlineLvl w:val="9"/>
        <w:rPr>
          <w:rFonts w:hint="default" w:ascii="Times New Roman" w:hAnsi="Times New Roman" w:eastAsia="黑体" w:cs="Times New Roman"/>
          <w:color w:val="auto"/>
          <w:kern w:val="0"/>
          <w:sz w:val="32"/>
          <w:szCs w:val="32"/>
          <w:highlight w:val="none"/>
          <w:lang w:val="en-US" w:eastAsia="zh-CN" w:bidi="ar-SA"/>
        </w:rPr>
      </w:pPr>
      <w:r>
        <w:rPr>
          <w:rFonts w:hint="default" w:ascii="Times New Roman" w:hAnsi="Times New Roman" w:eastAsia="黑体" w:cs="Times New Roman"/>
          <w:color w:val="auto"/>
          <w:kern w:val="0"/>
          <w:sz w:val="32"/>
          <w:szCs w:val="32"/>
          <w:highlight w:val="none"/>
          <w:lang w:val="en-US" w:eastAsia="zh-CN" w:bidi="ar-SA"/>
        </w:rPr>
        <w:t>附件</w:t>
      </w:r>
      <w:r>
        <w:rPr>
          <w:rFonts w:hint="eastAsia" w:eastAsia="黑体" w:cs="Times New Roman"/>
          <w:color w:val="auto"/>
          <w:kern w:val="0"/>
          <w:sz w:val="32"/>
          <w:szCs w:val="32"/>
          <w:highlight w:val="none"/>
          <w:lang w:val="en-US" w:eastAsia="zh-CN" w:bidi="ar-SA"/>
        </w:rPr>
        <w:t>3</w:t>
      </w:r>
    </w:p>
    <w:p>
      <w:pPr>
        <w:pStyle w:val="2"/>
        <w:keepNext w:val="0"/>
        <w:keepLines w:val="0"/>
        <w:pageBreakBefore w:val="0"/>
        <w:widowControl w:val="0"/>
        <w:kinsoku/>
        <w:wordWrap/>
        <w:overflowPunct w:val="0"/>
        <w:topLinePunct w:val="0"/>
        <w:autoSpaceDE/>
        <w:autoSpaceDN/>
        <w:bidi w:val="0"/>
        <w:adjustRightInd w:val="0"/>
        <w:snapToGrid w:val="0"/>
        <w:spacing w:line="579" w:lineRule="exact"/>
        <w:ind w:firstLine="0"/>
        <w:jc w:val="center"/>
        <w:textAlignment w:val="auto"/>
        <w:rPr>
          <w:rFonts w:hint="default" w:ascii="Times New Roman" w:hAnsi="Times New Roman" w:eastAsia="方正小标宋简体" w:cs="Times New Roman"/>
          <w:color w:val="auto"/>
          <w:spacing w:val="0"/>
          <w:w w:val="100"/>
          <w:kern w:val="0"/>
          <w:sz w:val="36"/>
          <w:szCs w:val="36"/>
          <w:highlight w:val="none"/>
          <w:u w:val="none"/>
        </w:rPr>
      </w:pPr>
      <w:r>
        <w:rPr>
          <w:rFonts w:hint="default" w:ascii="Times New Roman" w:hAnsi="Times New Roman" w:eastAsia="方正小标宋简体" w:cs="Times New Roman"/>
          <w:color w:val="auto"/>
          <w:spacing w:val="0"/>
          <w:w w:val="100"/>
          <w:kern w:val="0"/>
          <w:sz w:val="36"/>
          <w:szCs w:val="36"/>
          <w:highlight w:val="none"/>
          <w:u w:val="none"/>
        </w:rPr>
        <w:t>202</w:t>
      </w:r>
      <w:r>
        <w:rPr>
          <w:rFonts w:hint="default" w:ascii="Times New Roman" w:hAnsi="Times New Roman" w:eastAsia="方正小标宋简体" w:cs="Times New Roman"/>
          <w:color w:val="auto"/>
          <w:spacing w:val="0"/>
          <w:w w:val="100"/>
          <w:kern w:val="0"/>
          <w:sz w:val="36"/>
          <w:szCs w:val="36"/>
          <w:highlight w:val="none"/>
          <w:u w:val="none"/>
          <w:lang w:val="en-US" w:eastAsia="zh-CN"/>
        </w:rPr>
        <w:t>3</w:t>
      </w:r>
      <w:r>
        <w:rPr>
          <w:rFonts w:hint="default" w:ascii="Times New Roman" w:hAnsi="Times New Roman" w:eastAsia="方正小标宋简体" w:cs="Times New Roman"/>
          <w:color w:val="auto"/>
          <w:spacing w:val="0"/>
          <w:w w:val="100"/>
          <w:kern w:val="0"/>
          <w:sz w:val="36"/>
          <w:szCs w:val="36"/>
          <w:highlight w:val="none"/>
          <w:u w:val="none"/>
        </w:rPr>
        <w:t>年度</w:t>
      </w:r>
      <w:r>
        <w:rPr>
          <w:rFonts w:hint="default" w:ascii="Times New Roman" w:hAnsi="Times New Roman" w:eastAsia="方正小标宋简体" w:cs="Times New Roman"/>
          <w:color w:val="auto"/>
          <w:spacing w:val="0"/>
          <w:w w:val="100"/>
          <w:kern w:val="0"/>
          <w:sz w:val="36"/>
          <w:szCs w:val="36"/>
          <w:highlight w:val="none"/>
          <w:u w:val="none"/>
          <w:lang w:eastAsia="zh-CN"/>
        </w:rPr>
        <w:t>翔安区</w:t>
      </w:r>
      <w:r>
        <w:rPr>
          <w:rFonts w:hint="default" w:ascii="Times New Roman" w:hAnsi="Times New Roman" w:eastAsia="方正小标宋简体" w:cs="Times New Roman"/>
          <w:color w:val="auto"/>
          <w:spacing w:val="0"/>
          <w:w w:val="100"/>
          <w:kern w:val="0"/>
          <w:sz w:val="36"/>
          <w:szCs w:val="36"/>
          <w:highlight w:val="none"/>
          <w:u w:val="none"/>
        </w:rPr>
        <w:t>效能督查绩效评分办法</w:t>
      </w:r>
    </w:p>
    <w:p>
      <w:pPr>
        <w:keepNext w:val="0"/>
        <w:keepLines w:val="0"/>
        <w:pageBreakBefore w:val="0"/>
        <w:widowControl w:val="0"/>
        <w:kinsoku/>
        <w:wordWrap/>
        <w:overflowPunct w:val="0"/>
        <w:topLinePunct w:val="0"/>
        <w:autoSpaceDE/>
        <w:autoSpaceDN/>
        <w:bidi w:val="0"/>
        <w:adjustRightInd w:val="0"/>
        <w:snapToGrid w:val="0"/>
        <w:spacing w:line="579" w:lineRule="exact"/>
        <w:ind w:firstLine="630" w:firstLineChars="200"/>
        <w:jc w:val="both"/>
        <w:textAlignment w:val="auto"/>
        <w:rPr>
          <w:rFonts w:hint="default" w:ascii="Times New Roman" w:hAnsi="Times New Roman" w:eastAsia="黑体" w:cs="Times New Roman"/>
          <w:color w:val="auto"/>
          <w:spacing w:val="0"/>
          <w:w w:val="100"/>
          <w:kern w:val="0"/>
          <w:sz w:val="32"/>
          <w:szCs w:val="32"/>
          <w:highlight w:val="none"/>
          <w:u w:val="none"/>
        </w:rPr>
      </w:pP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黑体" w:cs="Times New Roman"/>
          <w:color w:val="auto"/>
          <w:kern w:val="0"/>
          <w:sz w:val="32"/>
          <w:szCs w:val="32"/>
          <w:highlight w:val="none"/>
          <w:u w:val="none"/>
        </w:rPr>
      </w:pPr>
      <w:r>
        <w:rPr>
          <w:rFonts w:hint="default" w:ascii="Times New Roman" w:hAnsi="Times New Roman" w:eastAsia="黑体" w:cs="Times New Roman"/>
          <w:color w:val="auto"/>
          <w:kern w:val="0"/>
          <w:sz w:val="32"/>
          <w:szCs w:val="32"/>
          <w:highlight w:val="none"/>
          <w:u w:val="none"/>
        </w:rPr>
        <w:t>一、扣分情形</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1</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工作落实不力：对上级部门或领导转办、交办、督办的工作任务落实不认真、不及时、不到位；工作措施不得力，效率低下，任务未全面完成；职能职责履行不到位，工作机制不健全，工作效果差；存在问题处置不得当，解决不及时，整改不到位；政策制度不配套、不落实，政策宣传解读不及时、不到位；对需要持续推进的事项不加强跟踪、需要上级协调的事项未及时报告；对群众投诉反映的问题事实认定不清楚、定性不准确、责任未分清</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其他工作落实不力的情形。每项扣5分。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2</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工作作风不扎实：工作主动性不够，不担当不作为，表态多调门高、行动少落实差；办事拖沓敷衍、推诿扯皮，懒政庸政怠政；情况反馈不及时、不真实、不准确；对存在问题表面整改、虚假整改、敷衍整改；办理群众诉求弄虚作假，隐瞒歪曲事实真相，应当受理的投诉件未予受理或推诿敷衍，反馈诉求人答非所问、避重就轻；其他工作作风不扎实的情形。每项扣5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3</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效能制度未落实：没有建立健全并落实岗位责任、办事公开、服务承诺、首问负责、一次性告知、限时办结、否定报备、责任追究、社会评议等机关效能建设制度；不落实机关效能建设相关制度规定或落实上级机关效能建设工作机构布置任务不到位等情形。每项扣5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4</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服务质量差：</w:t>
      </w:r>
      <w:r>
        <w:rPr>
          <w:rFonts w:hint="eastAsia" w:ascii="仿宋_GB2312" w:hAnsi="仿宋_GB2312" w:eastAsia="仿宋_GB2312" w:cs="仿宋_GB2312"/>
          <w:color w:val="auto"/>
          <w:kern w:val="0"/>
          <w:sz w:val="32"/>
          <w:szCs w:val="32"/>
          <w:highlight w:val="none"/>
          <w:u w:val="none"/>
        </w:rPr>
        <w:t>未落实“马上办、一次办”要求，存在“门难进、脸难看、话难听、事难办”</w:t>
      </w:r>
      <w:r>
        <w:rPr>
          <w:rFonts w:hint="eastAsia" w:ascii="仿宋_GB2312" w:hAnsi="仿宋_GB2312" w:eastAsia="仿宋_GB2312" w:cs="仿宋_GB2312"/>
          <w:color w:val="auto"/>
          <w:kern w:val="0"/>
          <w:sz w:val="32"/>
          <w:szCs w:val="32"/>
          <w:highlight w:val="none"/>
          <w:u w:val="none"/>
          <w:lang w:eastAsia="zh-CN"/>
        </w:rPr>
        <w:t>或</w:t>
      </w:r>
      <w:r>
        <w:rPr>
          <w:rFonts w:hint="eastAsia" w:ascii="仿宋_GB2312" w:hAnsi="仿宋_GB2312" w:eastAsia="仿宋_GB2312" w:cs="仿宋_GB2312"/>
          <w:color w:val="auto"/>
          <w:kern w:val="0"/>
          <w:sz w:val="32"/>
          <w:szCs w:val="32"/>
          <w:highlight w:val="none"/>
          <w:u w:val="none"/>
        </w:rPr>
        <w:t>“门好进、脸好看、话好听，事难办”问题，让群众办事跑多趟；便民服务热线不通或工作时间内长时</w:t>
      </w:r>
      <w:r>
        <w:rPr>
          <w:rFonts w:hint="default" w:ascii="Times New Roman" w:hAnsi="Times New Roman" w:eastAsia="仿宋_GB2312" w:cs="Times New Roman"/>
          <w:color w:val="auto"/>
          <w:kern w:val="0"/>
          <w:sz w:val="32"/>
          <w:szCs w:val="32"/>
          <w:highlight w:val="none"/>
          <w:u w:val="none"/>
        </w:rPr>
        <w:t>间无人接听；工作作风粗暴、服务态度生硬、工作不在状态、言行举止不文明、服务事项办理不好，给群众带来不便或造成不良影响；群众的合理诉求未得到依法依规解决，导致群众不满意；其他服务质量差的情形。每项扣5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5</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工作纪律散漫：不遵守考勤制度、窗口工作制度等日常管理规定；上班时间从事与工作无关事情，无故脱岗、离岗；未落实同岗替代制，群众办事无人受理；其他工作纪律散漫的情形。每项扣5分。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6</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工作不规范：机关内部事项清单不完善，即办件、承诺件、限时件未实行分类管理、即时办结；未遵守行政审批制度和行政服务标准化建设等要求，办事服务不规范；未遵守上级或牵头部门工作要求，反馈内容不规范、针对性不强、缺漏项；群众诉求办理程序不规范，未按要求主动联系、反馈投诉人，办理超期限、答复不规范，适用法律、法规、规章和政策不准确；其他工作不规范的情形。每项扣5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黑体" w:cs="Times New Roman"/>
          <w:color w:val="auto"/>
          <w:kern w:val="0"/>
          <w:sz w:val="32"/>
          <w:szCs w:val="32"/>
          <w:highlight w:val="none"/>
          <w:u w:val="none"/>
        </w:rPr>
      </w:pPr>
      <w:r>
        <w:rPr>
          <w:rFonts w:hint="default" w:ascii="Times New Roman" w:hAnsi="Times New Roman" w:eastAsia="黑体" w:cs="Times New Roman"/>
          <w:color w:val="auto"/>
          <w:kern w:val="0"/>
          <w:sz w:val="32"/>
          <w:szCs w:val="32"/>
          <w:highlight w:val="none"/>
          <w:u w:val="none"/>
        </w:rPr>
        <w:t>二、加重扣分情形</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1</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省</w:t>
      </w:r>
      <w:r>
        <w:rPr>
          <w:rFonts w:hint="default" w:ascii="Times New Roman" w:hAnsi="Times New Roman" w:eastAsia="仿宋_GB2312" w:cs="Times New Roman"/>
          <w:color w:val="auto"/>
          <w:kern w:val="0"/>
          <w:sz w:val="32"/>
          <w:szCs w:val="32"/>
          <w:highlight w:val="none"/>
          <w:u w:val="none"/>
          <w:lang w:eastAsia="zh-CN"/>
        </w:rPr>
        <w:t>、市</w:t>
      </w:r>
      <w:r>
        <w:rPr>
          <w:rFonts w:hint="default" w:ascii="Times New Roman" w:hAnsi="Times New Roman" w:eastAsia="仿宋_GB2312" w:cs="Times New Roman"/>
          <w:color w:val="auto"/>
          <w:kern w:val="0"/>
          <w:sz w:val="32"/>
          <w:szCs w:val="32"/>
          <w:highlight w:val="none"/>
          <w:u w:val="none"/>
        </w:rPr>
        <w:t>效能督查、调研、暗访等发现的问题，并</w:t>
      </w:r>
      <w:r>
        <w:rPr>
          <w:rFonts w:hint="default" w:ascii="Times New Roman" w:hAnsi="Times New Roman" w:eastAsia="仿宋_GB2312" w:cs="Times New Roman"/>
          <w:color w:val="auto"/>
          <w:kern w:val="0"/>
          <w:sz w:val="32"/>
          <w:szCs w:val="32"/>
          <w:highlight w:val="none"/>
          <w:u w:val="none"/>
          <w:lang w:eastAsia="zh-CN"/>
        </w:rPr>
        <w:t>被</w:t>
      </w:r>
      <w:r>
        <w:rPr>
          <w:rFonts w:hint="default" w:ascii="Times New Roman" w:hAnsi="Times New Roman" w:eastAsia="仿宋_GB2312" w:cs="Times New Roman"/>
          <w:color w:val="auto"/>
          <w:kern w:val="0"/>
          <w:sz w:val="32"/>
          <w:szCs w:val="32"/>
          <w:highlight w:val="none"/>
          <w:u w:val="none"/>
        </w:rPr>
        <w:t>扣分的；相关责任单位对存在的问题整改不到位、整改情况逾期报送的；省市</w:t>
      </w:r>
      <w:r>
        <w:rPr>
          <w:rFonts w:hint="default" w:ascii="Times New Roman" w:hAnsi="Times New Roman" w:eastAsia="仿宋_GB2312" w:cs="Times New Roman"/>
          <w:color w:val="auto"/>
          <w:kern w:val="0"/>
          <w:sz w:val="32"/>
          <w:szCs w:val="32"/>
          <w:highlight w:val="none"/>
          <w:u w:val="none"/>
          <w:lang w:eastAsia="zh-CN"/>
        </w:rPr>
        <w:t>区</w:t>
      </w:r>
      <w:r>
        <w:rPr>
          <w:rFonts w:hint="default" w:ascii="Times New Roman" w:hAnsi="Times New Roman" w:eastAsia="仿宋_GB2312" w:cs="Times New Roman"/>
          <w:color w:val="auto"/>
          <w:kern w:val="0"/>
          <w:sz w:val="32"/>
          <w:szCs w:val="32"/>
          <w:highlight w:val="none"/>
          <w:u w:val="none"/>
        </w:rPr>
        <w:t>督查机构转办、交办、督办事项，相关责任单位仍久拖不决的</w:t>
      </w:r>
      <w:r>
        <w:rPr>
          <w:rFonts w:hint="default"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均予以双倍扣分。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2</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在机关效能建设方面存在问题，被媒体曝光，造成严重影响，经查属实的；隐匿、销毁、伪造证据，或者对存在问题作出不实说明的；以阻扰、设障等各种方式干扰、妨碍、拒绝接受督查的；每次扣20分。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3</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其他需要加重扣分的情形。</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黑体" w:cs="Times New Roman"/>
          <w:color w:val="auto"/>
          <w:kern w:val="0"/>
          <w:sz w:val="32"/>
          <w:szCs w:val="32"/>
          <w:highlight w:val="none"/>
          <w:u w:val="none"/>
        </w:rPr>
      </w:pPr>
      <w:r>
        <w:rPr>
          <w:rFonts w:hint="default" w:ascii="Times New Roman" w:hAnsi="Times New Roman" w:eastAsia="黑体" w:cs="Times New Roman"/>
          <w:color w:val="auto"/>
          <w:kern w:val="0"/>
          <w:sz w:val="32"/>
          <w:szCs w:val="32"/>
          <w:highlight w:val="none"/>
          <w:u w:val="none"/>
        </w:rPr>
        <w:t>三、减轻或免予扣分情形</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1</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法律、法规、规章和政策没有明确规定和限制，属于在推进改革中因缺乏经验、先行先试或在上级尚无明确限制的探索性试验中出现失误的；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2</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因政策调整、上级审批、司法诉讼和不可抗力等非主观方面因素，或者因社会资本投资项目业主自身问题，导致项目推进滞后的；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3</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主动向上级争取的项目和优惠政策，非主观方面原因导致项目推进滞后、政策落实不到位的；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4</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在优化营商环境、行政服务等方面，因缺少必要的技术和人员等客观原因，已向相关部门报告，正在研究解决的；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5</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在12345便民服务、效能投诉等群众诉求办理方面，已履职尽责、耐心疏导，但诉求事项不符合法律、法规、规章和政策规定，矛盾纠纷在指定的时限内无法化解的；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6</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发生在往年的问题，且不影响督查时当年度和以后相关工作的；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7</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能及时整改存在的问题，整改效果好，且不影响督查时当年度和以后相关工作的；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8</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依规对造成问题的相关责任人员进行效能问责的；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9</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在绩效评估指标中已作相应扣分的；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10</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非主观方面引发的问题，问题情节轻微、影响较小，相关单位作出的解释说明合理合规的。</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黑体" w:cs="Times New Roman"/>
          <w:b w:val="0"/>
          <w:bCs w:val="0"/>
          <w:color w:val="auto"/>
          <w:kern w:val="0"/>
          <w:sz w:val="32"/>
          <w:szCs w:val="32"/>
          <w:highlight w:val="none"/>
        </w:rPr>
      </w:pPr>
      <w:r>
        <w:rPr>
          <w:rFonts w:hint="default" w:ascii="Times New Roman" w:hAnsi="Times New Roman" w:eastAsia="黑体" w:cs="Times New Roman"/>
          <w:b w:val="0"/>
          <w:bCs w:val="0"/>
          <w:color w:val="auto"/>
          <w:kern w:val="0"/>
          <w:sz w:val="32"/>
          <w:szCs w:val="32"/>
          <w:highlight w:val="none"/>
        </w:rPr>
        <w:t>四、</w:t>
      </w:r>
      <w:r>
        <w:rPr>
          <w:rFonts w:hint="eastAsia" w:ascii="Times New Roman" w:hAnsi="Times New Roman" w:eastAsia="黑体" w:cs="Times New Roman"/>
          <w:b w:val="0"/>
          <w:bCs w:val="0"/>
          <w:color w:val="auto"/>
          <w:kern w:val="0"/>
          <w:sz w:val="32"/>
          <w:szCs w:val="32"/>
          <w:highlight w:val="none"/>
          <w:lang w:eastAsia="zh-CN"/>
        </w:rPr>
        <w:t>加扣分值</w:t>
      </w:r>
    </w:p>
    <w:p>
      <w:pPr>
        <w:pStyle w:val="2"/>
        <w:keepNext w:val="0"/>
        <w:keepLines w:val="0"/>
        <w:pageBreakBefore w:val="0"/>
        <w:widowControl w:val="0"/>
        <w:kinsoku/>
        <w:wordWrap/>
        <w:overflowPunct/>
        <w:topLinePunct w:val="0"/>
        <w:bidi w:val="0"/>
        <w:spacing w:before="0" w:beforeLines="0" w:after="0" w:afterLines="0" w:line="596" w:lineRule="exact"/>
        <w:ind w:left="0" w:leftChars="0" w:right="0" w:rightChars="0" w:firstLine="0" w:firstLineChars="0"/>
        <w:jc w:val="both"/>
        <w:textAlignment w:val="auto"/>
        <w:outlineLvl w:val="9"/>
        <w:rPr>
          <w:rFonts w:hint="eastAsia" w:ascii="Times New Roman" w:hAnsi="Times New Roman" w:eastAsia="仿宋_GB2312" w:cs="Times New Roman"/>
          <w:color w:val="auto"/>
          <w:kern w:val="0"/>
          <w:sz w:val="32"/>
          <w:szCs w:val="32"/>
          <w:highlight w:val="none"/>
          <w:lang w:val="en-US" w:eastAsia="zh-CN"/>
        </w:rPr>
      </w:pPr>
      <w:r>
        <w:rPr>
          <w:rFonts w:hint="eastAsia" w:ascii="Times New Roman" w:hAnsi="Times New Roman" w:eastAsia="仿宋_GB2312" w:cs="Times New Roman"/>
          <w:color w:val="auto"/>
          <w:kern w:val="0"/>
          <w:sz w:val="32"/>
          <w:szCs w:val="32"/>
          <w:highlight w:val="none"/>
          <w:lang w:val="en-US" w:eastAsia="zh-CN"/>
        </w:rPr>
        <w:t xml:space="preserve">    1．被市效能察访核验发现人员问题扣分的，给予相关责任单位双倍扣分。总扣分不设上限。</w:t>
      </w:r>
    </w:p>
    <w:p>
      <w:pPr>
        <w:pStyle w:val="2"/>
        <w:keepNext w:val="0"/>
        <w:keepLines w:val="0"/>
        <w:pageBreakBefore w:val="0"/>
        <w:widowControl w:val="0"/>
        <w:kinsoku/>
        <w:wordWrap/>
        <w:overflowPunct/>
        <w:topLinePunct w:val="0"/>
        <w:bidi w:val="0"/>
        <w:spacing w:before="0" w:beforeLines="0" w:after="0" w:afterLines="0" w:line="596" w:lineRule="exact"/>
        <w:ind w:left="0" w:leftChars="0" w:right="0" w:rightChars="0" w:firstLine="0" w:firstLineChars="0"/>
        <w:jc w:val="both"/>
        <w:textAlignment w:val="auto"/>
        <w:outlineLvl w:val="9"/>
        <w:rPr>
          <w:rFonts w:hint="eastAsia" w:ascii="Times New Roman" w:hAnsi="Times New Roman" w:eastAsia="仿宋_GB2312" w:cs="Times New Roman"/>
          <w:color w:val="auto"/>
          <w:kern w:val="0"/>
          <w:sz w:val="32"/>
          <w:szCs w:val="32"/>
          <w:highlight w:val="none"/>
          <w:lang w:val="en-US" w:eastAsia="zh-CN"/>
        </w:rPr>
      </w:pPr>
      <w:r>
        <w:rPr>
          <w:rFonts w:hint="eastAsia" w:ascii="Times New Roman" w:hAnsi="Times New Roman" w:eastAsia="仿宋_GB2312" w:cs="Times New Roman"/>
          <w:color w:val="auto"/>
          <w:kern w:val="0"/>
          <w:sz w:val="32"/>
          <w:szCs w:val="32"/>
          <w:highlight w:val="none"/>
          <w:lang w:val="en-US" w:eastAsia="zh-CN"/>
        </w:rPr>
        <w:t xml:space="preserve">    2．</w:t>
      </w:r>
      <w:r>
        <w:rPr>
          <w:rFonts w:hint="eastAsia" w:ascii="Times New Roman" w:hAnsi="Times New Roman" w:eastAsia="仿宋_GB2312" w:cs="Times New Roman"/>
          <w:color w:val="auto"/>
          <w:kern w:val="0"/>
          <w:sz w:val="32"/>
          <w:szCs w:val="32"/>
          <w:highlight w:val="none"/>
          <w:lang w:eastAsia="zh-CN"/>
        </w:rPr>
        <w:t>被</w:t>
      </w:r>
      <w:r>
        <w:rPr>
          <w:rFonts w:hint="default" w:ascii="Times New Roman" w:hAnsi="Times New Roman" w:eastAsia="仿宋_GB2312" w:cs="Times New Roman"/>
          <w:color w:val="auto"/>
          <w:kern w:val="0"/>
          <w:sz w:val="32"/>
          <w:szCs w:val="32"/>
          <w:highlight w:val="none"/>
          <w:lang w:eastAsia="zh-CN"/>
        </w:rPr>
        <w:t>区</w:t>
      </w:r>
      <w:r>
        <w:rPr>
          <w:rFonts w:hint="default" w:ascii="Times New Roman" w:hAnsi="Times New Roman" w:eastAsia="仿宋_GB2312" w:cs="Times New Roman"/>
          <w:color w:val="auto"/>
          <w:kern w:val="0"/>
          <w:sz w:val="32"/>
          <w:szCs w:val="32"/>
          <w:highlight w:val="none"/>
        </w:rPr>
        <w:t>效能察访核验发现</w:t>
      </w:r>
      <w:r>
        <w:rPr>
          <w:rFonts w:hint="default" w:ascii="Times New Roman" w:hAnsi="Times New Roman" w:eastAsia="仿宋_GB2312" w:cs="Times New Roman"/>
          <w:color w:val="auto"/>
          <w:kern w:val="0"/>
          <w:sz w:val="32"/>
          <w:szCs w:val="32"/>
          <w:highlight w:val="none"/>
          <w:lang w:eastAsia="zh-CN"/>
        </w:rPr>
        <w:t>人员</w:t>
      </w:r>
      <w:r>
        <w:rPr>
          <w:rFonts w:hint="default" w:ascii="Times New Roman" w:hAnsi="Times New Roman" w:eastAsia="仿宋_GB2312" w:cs="Times New Roman"/>
          <w:color w:val="auto"/>
          <w:kern w:val="0"/>
          <w:sz w:val="32"/>
          <w:szCs w:val="32"/>
          <w:highlight w:val="none"/>
        </w:rPr>
        <w:t>问题扣分</w:t>
      </w:r>
      <w:r>
        <w:rPr>
          <w:rFonts w:hint="eastAsia" w:ascii="Times New Roman" w:hAnsi="Times New Roman" w:eastAsia="仿宋_GB2312" w:cs="Times New Roman"/>
          <w:color w:val="auto"/>
          <w:kern w:val="0"/>
          <w:sz w:val="32"/>
          <w:szCs w:val="32"/>
          <w:highlight w:val="none"/>
          <w:lang w:eastAsia="zh-CN"/>
        </w:rPr>
        <w:t>的，一个问题扣</w:t>
      </w:r>
      <w:r>
        <w:rPr>
          <w:rFonts w:hint="eastAsia" w:ascii="Times New Roman" w:hAnsi="Times New Roman" w:eastAsia="仿宋_GB2312" w:cs="Times New Roman"/>
          <w:color w:val="auto"/>
          <w:kern w:val="0"/>
          <w:sz w:val="32"/>
          <w:szCs w:val="32"/>
          <w:highlight w:val="none"/>
          <w:lang w:val="en-US" w:eastAsia="zh-CN"/>
        </w:rPr>
        <w:t>5分；若对相关责任人员效能问责的，给予相关责任单位减半扣分。总扣分不设上限。</w:t>
      </w:r>
    </w:p>
    <w:p>
      <w:pPr>
        <w:keepNext w:val="0"/>
        <w:keepLines w:val="0"/>
        <w:pageBreakBefore w:val="0"/>
        <w:widowControl w:val="0"/>
        <w:numPr>
          <w:ilvl w:val="0"/>
          <w:numId w:val="0"/>
        </w:numPr>
        <w:kinsoku/>
        <w:wordWrap/>
        <w:overflowPunct/>
        <w:topLinePunct w:val="0"/>
        <w:autoSpaceDE w:val="0"/>
        <w:autoSpaceDN w:val="0"/>
        <w:bidi w:val="0"/>
        <w:adjustRightInd w:val="0"/>
        <w:snapToGrid w:val="0"/>
        <w:spacing w:before="0" w:beforeLines="0" w:after="0" w:afterLines="0" w:line="596" w:lineRule="exact"/>
        <w:ind w:left="0" w:leftChars="0" w:right="0" w:rightChars="0"/>
        <w:jc w:val="both"/>
        <w:textAlignment w:val="auto"/>
        <w:outlineLvl w:val="9"/>
        <w:rPr>
          <w:rFonts w:hint="eastAsia" w:ascii="Times New Roman" w:hAnsi="Times New Roman" w:eastAsia="仿宋_GB2312" w:cs="Times New Roman"/>
          <w:color w:val="auto"/>
          <w:kern w:val="0"/>
          <w:sz w:val="32"/>
          <w:szCs w:val="32"/>
          <w:highlight w:val="none"/>
          <w:lang w:val="en-US" w:eastAsia="zh-CN"/>
        </w:rPr>
      </w:pPr>
      <w:r>
        <w:rPr>
          <w:rFonts w:hint="eastAsia" w:ascii="Times New Roman" w:hAnsi="Times New Roman" w:eastAsia="仿宋_GB2312" w:cs="Times New Roman"/>
          <w:color w:val="auto"/>
          <w:kern w:val="0"/>
          <w:sz w:val="32"/>
          <w:szCs w:val="32"/>
          <w:highlight w:val="none"/>
          <w:lang w:val="en-US" w:eastAsia="zh-CN"/>
        </w:rPr>
        <w:t xml:space="preserve">    3．</w:t>
      </w:r>
      <w:r>
        <w:rPr>
          <w:rFonts w:hint="default" w:ascii="Times New Roman" w:hAnsi="Times New Roman" w:eastAsia="仿宋_GB2312" w:cs="Times New Roman"/>
          <w:color w:val="auto"/>
          <w:kern w:val="0"/>
          <w:sz w:val="32"/>
          <w:szCs w:val="32"/>
          <w:highlight w:val="none"/>
          <w:lang w:eastAsia="zh-CN"/>
        </w:rPr>
        <w:t>各</w:t>
      </w:r>
      <w:r>
        <w:rPr>
          <w:rFonts w:hint="eastAsia" w:ascii="Times New Roman" w:hAnsi="Times New Roman" w:eastAsia="仿宋_GB2312" w:cs="Times New Roman"/>
          <w:color w:val="auto"/>
          <w:kern w:val="0"/>
          <w:sz w:val="32"/>
          <w:szCs w:val="32"/>
          <w:highlight w:val="none"/>
          <w:lang w:eastAsia="zh-CN"/>
        </w:rPr>
        <w:t>单位</w:t>
      </w:r>
      <w:r>
        <w:rPr>
          <w:rFonts w:hint="default" w:ascii="Times New Roman" w:hAnsi="Times New Roman" w:eastAsia="仿宋_GB2312" w:cs="Times New Roman"/>
          <w:color w:val="auto"/>
          <w:kern w:val="0"/>
          <w:sz w:val="32"/>
          <w:szCs w:val="32"/>
          <w:highlight w:val="none"/>
        </w:rPr>
        <w:t>自行开展察访核验发现</w:t>
      </w:r>
      <w:r>
        <w:rPr>
          <w:rFonts w:hint="eastAsia" w:ascii="Times New Roman" w:hAnsi="Times New Roman" w:eastAsia="仿宋_GB2312" w:cs="Times New Roman"/>
          <w:color w:val="auto"/>
          <w:kern w:val="0"/>
          <w:sz w:val="32"/>
          <w:szCs w:val="32"/>
          <w:highlight w:val="none"/>
          <w:lang w:eastAsia="zh-CN"/>
        </w:rPr>
        <w:t>人员</w:t>
      </w:r>
      <w:r>
        <w:rPr>
          <w:rFonts w:hint="default" w:ascii="Times New Roman" w:hAnsi="Times New Roman" w:eastAsia="仿宋_GB2312" w:cs="Times New Roman"/>
          <w:color w:val="auto"/>
          <w:kern w:val="0"/>
          <w:sz w:val="32"/>
          <w:szCs w:val="32"/>
          <w:highlight w:val="none"/>
        </w:rPr>
        <w:t>问题，并对相关责任人员效能问责的，</w:t>
      </w:r>
      <w:r>
        <w:rPr>
          <w:rFonts w:hint="eastAsia" w:ascii="Times New Roman" w:hAnsi="Times New Roman" w:eastAsia="仿宋_GB2312" w:cs="Times New Roman"/>
          <w:color w:val="auto"/>
          <w:kern w:val="0"/>
          <w:sz w:val="32"/>
          <w:szCs w:val="32"/>
          <w:highlight w:val="none"/>
          <w:lang w:eastAsia="zh-CN"/>
        </w:rPr>
        <w:t>每效能问责</w:t>
      </w:r>
      <w:r>
        <w:rPr>
          <w:rFonts w:hint="eastAsia" w:ascii="Times New Roman" w:hAnsi="Times New Roman" w:eastAsia="仿宋_GB2312" w:cs="Times New Roman"/>
          <w:color w:val="auto"/>
          <w:kern w:val="0"/>
          <w:sz w:val="32"/>
          <w:szCs w:val="32"/>
          <w:highlight w:val="none"/>
          <w:lang w:val="en-US" w:eastAsia="zh-CN"/>
        </w:rPr>
        <w:t>1人次</w:t>
      </w:r>
      <w:r>
        <w:rPr>
          <w:rFonts w:hint="default" w:ascii="Times New Roman" w:hAnsi="Times New Roman" w:eastAsia="仿宋_GB2312" w:cs="Times New Roman"/>
          <w:color w:val="auto"/>
          <w:kern w:val="0"/>
          <w:sz w:val="32"/>
          <w:szCs w:val="32"/>
          <w:highlight w:val="none"/>
          <w:lang w:eastAsia="zh-CN"/>
        </w:rPr>
        <w:t>加</w:t>
      </w:r>
      <w:r>
        <w:rPr>
          <w:rFonts w:hint="eastAsia" w:ascii="Times New Roman" w:hAnsi="Times New Roman" w:eastAsia="仿宋_GB2312" w:cs="Times New Roman"/>
          <w:color w:val="auto"/>
          <w:kern w:val="0"/>
          <w:sz w:val="32"/>
          <w:szCs w:val="32"/>
          <w:highlight w:val="none"/>
          <w:lang w:val="en-US" w:eastAsia="zh-CN"/>
        </w:rPr>
        <w:t>1</w:t>
      </w:r>
      <w:r>
        <w:rPr>
          <w:rFonts w:hint="default" w:ascii="Times New Roman" w:hAnsi="Times New Roman" w:eastAsia="仿宋_GB2312" w:cs="Times New Roman"/>
          <w:color w:val="auto"/>
          <w:kern w:val="0"/>
          <w:sz w:val="32"/>
          <w:szCs w:val="32"/>
          <w:highlight w:val="none"/>
          <w:lang w:val="en-US" w:eastAsia="zh-CN"/>
        </w:rPr>
        <w:t>分</w:t>
      </w:r>
      <w:r>
        <w:rPr>
          <w:rFonts w:hint="eastAsia" w:ascii="Times New Roman" w:hAnsi="Times New Roman" w:eastAsia="仿宋_GB2312" w:cs="Times New Roman"/>
          <w:color w:val="auto"/>
          <w:kern w:val="0"/>
          <w:sz w:val="32"/>
          <w:szCs w:val="32"/>
          <w:highlight w:val="none"/>
          <w:lang w:val="en-US" w:eastAsia="zh-CN"/>
        </w:rPr>
        <w:t>。总加分不超过10分。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黑体" w:cs="Times New Roman"/>
          <w:color w:val="auto"/>
          <w:kern w:val="0"/>
          <w:sz w:val="32"/>
          <w:szCs w:val="32"/>
          <w:highlight w:val="none"/>
          <w:u w:val="none"/>
        </w:rPr>
      </w:pPr>
      <w:r>
        <w:rPr>
          <w:rFonts w:hint="default" w:ascii="Times New Roman" w:hAnsi="Times New Roman" w:eastAsia="黑体" w:cs="Times New Roman"/>
          <w:color w:val="auto"/>
          <w:kern w:val="0"/>
          <w:sz w:val="32"/>
          <w:szCs w:val="32"/>
          <w:highlight w:val="none"/>
          <w:u w:val="none"/>
          <w:lang w:eastAsia="zh-CN"/>
        </w:rPr>
        <w:t>五</w:t>
      </w:r>
      <w:r>
        <w:rPr>
          <w:rFonts w:hint="default" w:ascii="Times New Roman" w:hAnsi="Times New Roman" w:eastAsia="黑体" w:cs="Times New Roman"/>
          <w:color w:val="auto"/>
          <w:kern w:val="0"/>
          <w:sz w:val="32"/>
          <w:szCs w:val="32"/>
          <w:highlight w:val="none"/>
          <w:u w:val="none"/>
        </w:rPr>
        <w:t>、其他评分原则</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1</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党中央、国务院及中央和国家机关督查检查考核反馈通报的典型效能问题，省市</w:t>
      </w:r>
      <w:r>
        <w:rPr>
          <w:rFonts w:hint="default" w:ascii="Times New Roman" w:hAnsi="Times New Roman" w:eastAsia="仿宋_GB2312" w:cs="Times New Roman"/>
          <w:color w:val="auto"/>
          <w:kern w:val="0"/>
          <w:sz w:val="32"/>
          <w:szCs w:val="32"/>
          <w:highlight w:val="none"/>
          <w:u w:val="none"/>
          <w:lang w:eastAsia="zh-CN"/>
        </w:rPr>
        <w:t>区</w:t>
      </w:r>
      <w:r>
        <w:rPr>
          <w:rFonts w:hint="default" w:ascii="Times New Roman" w:hAnsi="Times New Roman" w:eastAsia="仿宋_GB2312" w:cs="Times New Roman"/>
          <w:color w:val="auto"/>
          <w:kern w:val="0"/>
          <w:sz w:val="32"/>
          <w:szCs w:val="32"/>
          <w:highlight w:val="none"/>
          <w:u w:val="none"/>
        </w:rPr>
        <w:t>党委政府批准开展的督查检查考核中发现的典型效能问题，由</w:t>
      </w:r>
      <w:r>
        <w:rPr>
          <w:rFonts w:hint="default" w:ascii="Times New Roman" w:hAnsi="Times New Roman" w:eastAsia="仿宋_GB2312" w:cs="Times New Roman"/>
          <w:color w:val="auto"/>
          <w:kern w:val="0"/>
          <w:sz w:val="32"/>
          <w:szCs w:val="32"/>
          <w:highlight w:val="none"/>
          <w:u w:val="none"/>
          <w:lang w:eastAsia="zh-CN"/>
        </w:rPr>
        <w:t>区</w:t>
      </w:r>
      <w:r>
        <w:rPr>
          <w:rFonts w:hint="default" w:ascii="Times New Roman" w:hAnsi="Times New Roman" w:eastAsia="仿宋_GB2312" w:cs="Times New Roman"/>
          <w:color w:val="auto"/>
          <w:kern w:val="0"/>
          <w:sz w:val="32"/>
          <w:szCs w:val="32"/>
          <w:highlight w:val="none"/>
          <w:u w:val="none"/>
        </w:rPr>
        <w:t>效能督查办视情况按本办法对问题责任单位进行扣分。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kern w:val="0"/>
          <w:sz w:val="32"/>
          <w:szCs w:val="32"/>
          <w:highlight w:val="none"/>
          <w:u w:val="none"/>
        </w:rPr>
      </w:pPr>
      <w:r>
        <w:rPr>
          <w:rFonts w:hint="default" w:ascii="Times New Roman" w:hAnsi="Times New Roman" w:eastAsia="仿宋_GB2312" w:cs="Times New Roman"/>
          <w:color w:val="auto"/>
          <w:kern w:val="0"/>
          <w:sz w:val="32"/>
          <w:szCs w:val="32"/>
          <w:highlight w:val="none"/>
          <w:u w:val="none"/>
        </w:rPr>
        <w:t>2</w:t>
      </w:r>
      <w:r>
        <w:rPr>
          <w:rFonts w:hint="eastAsia" w:ascii="Times New Roman" w:hAnsi="Times New Roman" w:eastAsia="仿宋_GB2312" w:cs="Times New Roman"/>
          <w:color w:val="auto"/>
          <w:kern w:val="0"/>
          <w:sz w:val="32"/>
          <w:szCs w:val="32"/>
          <w:highlight w:val="none"/>
          <w:u w:val="none"/>
          <w:lang w:eastAsia="zh-CN"/>
        </w:rPr>
        <w:t>．</w:t>
      </w:r>
      <w:r>
        <w:rPr>
          <w:rFonts w:hint="default" w:ascii="Times New Roman" w:hAnsi="Times New Roman" w:eastAsia="仿宋_GB2312" w:cs="Times New Roman"/>
          <w:color w:val="auto"/>
          <w:kern w:val="0"/>
          <w:sz w:val="32"/>
          <w:szCs w:val="32"/>
          <w:highlight w:val="none"/>
          <w:u w:val="none"/>
        </w:rPr>
        <w:t>同一问题情形适用两个扣分标准的就高不就低，同一问题不重复扣分。</w:t>
      </w:r>
    </w:p>
    <w:p>
      <w:pPr>
        <w:keepNext w:val="0"/>
        <w:keepLines w:val="0"/>
        <w:pageBreakBefore w:val="0"/>
        <w:widowControl w:val="0"/>
        <w:kinsoku/>
        <w:wordWrap/>
        <w:overflowPunct/>
        <w:topLinePunct w:val="0"/>
        <w:autoSpaceDE w:val="0"/>
        <w:autoSpaceDN w:val="0"/>
        <w:bidi w:val="0"/>
        <w:adjustRightInd w:val="0"/>
        <w:snapToGrid w:val="0"/>
        <w:spacing w:before="0" w:beforeLines="0" w:after="0" w:afterLines="0" w:line="596" w:lineRule="exact"/>
        <w:ind w:left="0" w:leftChars="0" w:right="0" w:rightChars="0" w:firstLine="696" w:firstLineChars="221"/>
        <w:jc w:val="both"/>
        <w:textAlignment w:val="auto"/>
        <w:outlineLvl w:val="9"/>
        <w:rPr>
          <w:rFonts w:hint="default" w:ascii="Times New Roman" w:hAnsi="Times New Roman" w:eastAsia="仿宋_GB2312" w:cs="Times New Roman"/>
          <w:color w:val="auto"/>
          <w:spacing w:val="-4"/>
          <w:kern w:val="0"/>
          <w:sz w:val="32"/>
          <w:szCs w:val="32"/>
        </w:rPr>
        <w:sectPr>
          <w:pgSz w:w="11906" w:h="16838"/>
          <w:pgMar w:top="1474" w:right="1247" w:bottom="1587" w:left="1871" w:header="851" w:footer="992" w:gutter="0"/>
          <w:pgNumType w:fmt="decimal"/>
          <w:cols w:space="720" w:num="1"/>
          <w:rtlGutter w:val="0"/>
          <w:docGrid w:type="linesAndChars" w:linePitch="579" w:charSpace="-1153"/>
        </w:sectPr>
      </w:pPr>
      <w:r>
        <w:rPr>
          <w:rFonts w:hint="eastAsia" w:ascii="Times New Roman" w:hAnsi="Times New Roman" w:eastAsia="仿宋_GB2312" w:cs="Times New Roman"/>
          <w:color w:val="auto"/>
          <w:kern w:val="0"/>
          <w:sz w:val="32"/>
          <w:szCs w:val="32"/>
          <w:lang w:val="en-US" w:eastAsia="zh-CN"/>
        </w:rPr>
        <w:t>3</w:t>
      </w:r>
      <w:r>
        <w:rPr>
          <w:rFonts w:hint="eastAsia" w:ascii="Times New Roman" w:hAnsi="Times New Roman" w:eastAsia="仿宋_GB2312" w:cs="Times New Roman"/>
          <w:color w:val="auto"/>
          <w:kern w:val="0"/>
          <w:sz w:val="32"/>
          <w:szCs w:val="32"/>
          <w:lang w:eastAsia="zh-CN"/>
        </w:rPr>
        <w:t>．</w:t>
      </w:r>
      <w:r>
        <w:rPr>
          <w:rFonts w:hint="default" w:ascii="Times New Roman" w:hAnsi="Times New Roman" w:eastAsia="仿宋_GB2312" w:cs="Times New Roman"/>
          <w:color w:val="auto"/>
          <w:kern w:val="0"/>
          <w:sz w:val="32"/>
          <w:szCs w:val="32"/>
        </w:rPr>
        <w:t>各绩效管理单位自行开展监督检查中发现的工作纪律、工作作风、担当作为等方面典型问题，并对相关责任人员进行效能问责的，可形成督查案例，于作出问责决定的次月报送</w:t>
      </w:r>
      <w:r>
        <w:rPr>
          <w:rFonts w:hint="default" w:ascii="Times New Roman" w:hAnsi="Times New Roman" w:eastAsia="仿宋_GB2312" w:cs="Times New Roman"/>
          <w:color w:val="auto"/>
          <w:kern w:val="0"/>
          <w:sz w:val="32"/>
          <w:szCs w:val="32"/>
          <w:lang w:eastAsia="zh-CN"/>
        </w:rPr>
        <w:t>区</w:t>
      </w:r>
      <w:r>
        <w:rPr>
          <w:rFonts w:hint="default" w:ascii="Times New Roman" w:hAnsi="Times New Roman" w:eastAsia="仿宋_GB2312" w:cs="Times New Roman"/>
          <w:color w:val="auto"/>
          <w:kern w:val="0"/>
          <w:sz w:val="32"/>
          <w:szCs w:val="32"/>
        </w:rPr>
        <w:t>效能</w:t>
      </w:r>
      <w:r>
        <w:rPr>
          <w:rFonts w:hint="default" w:ascii="Times New Roman" w:hAnsi="Times New Roman" w:eastAsia="仿宋_GB2312" w:cs="Times New Roman"/>
          <w:color w:val="auto"/>
          <w:spacing w:val="-4"/>
          <w:kern w:val="0"/>
          <w:sz w:val="32"/>
          <w:szCs w:val="32"/>
        </w:rPr>
        <w:t>督查办，由</w:t>
      </w:r>
      <w:r>
        <w:rPr>
          <w:rFonts w:hint="default" w:ascii="Times New Roman" w:hAnsi="Times New Roman" w:eastAsia="仿宋_GB2312" w:cs="Times New Roman"/>
          <w:color w:val="auto"/>
          <w:spacing w:val="-4"/>
          <w:kern w:val="0"/>
          <w:sz w:val="32"/>
          <w:szCs w:val="32"/>
          <w:lang w:eastAsia="zh-CN"/>
        </w:rPr>
        <w:t>区</w:t>
      </w:r>
      <w:r>
        <w:rPr>
          <w:rFonts w:hint="default" w:ascii="Times New Roman" w:hAnsi="Times New Roman" w:eastAsia="仿宋_GB2312" w:cs="Times New Roman"/>
          <w:color w:val="auto"/>
          <w:spacing w:val="-4"/>
          <w:kern w:val="0"/>
          <w:sz w:val="32"/>
          <w:szCs w:val="32"/>
        </w:rPr>
        <w:t>效能督查办视</w:t>
      </w:r>
      <w:r>
        <w:rPr>
          <w:rFonts w:hint="eastAsia" w:ascii="仿宋_GB2312" w:hAnsi="仿宋_GB2312" w:eastAsia="仿宋_GB2312" w:cs="仿宋_GB2312"/>
          <w:color w:val="auto"/>
          <w:spacing w:val="-4"/>
          <w:kern w:val="0"/>
          <w:sz w:val="32"/>
          <w:szCs w:val="32"/>
        </w:rPr>
        <w:t>情在</w:t>
      </w:r>
      <w:r>
        <w:rPr>
          <w:rFonts w:hint="eastAsia" w:ascii="仿宋_GB2312" w:hAnsi="仿宋_GB2312" w:eastAsia="仿宋_GB2312" w:cs="仿宋_GB2312"/>
          <w:color w:val="auto"/>
          <w:spacing w:val="-4"/>
          <w:kern w:val="0"/>
          <w:sz w:val="32"/>
          <w:szCs w:val="32"/>
          <w:lang w:eastAsia="zh-CN"/>
        </w:rPr>
        <w:t>“</w:t>
      </w:r>
      <w:r>
        <w:rPr>
          <w:rFonts w:hint="eastAsia" w:ascii="仿宋_GB2312" w:hAnsi="仿宋_GB2312" w:eastAsia="仿宋_GB2312" w:cs="仿宋_GB2312"/>
          <w:color w:val="auto"/>
          <w:spacing w:val="-4"/>
          <w:kern w:val="0"/>
          <w:sz w:val="32"/>
          <w:szCs w:val="32"/>
        </w:rPr>
        <w:t>机关效能建设</w:t>
      </w:r>
      <w:r>
        <w:rPr>
          <w:rFonts w:hint="eastAsia" w:ascii="仿宋_GB2312" w:hAnsi="仿宋_GB2312" w:eastAsia="仿宋_GB2312" w:cs="仿宋_GB2312"/>
          <w:color w:val="auto"/>
          <w:spacing w:val="-4"/>
          <w:kern w:val="0"/>
          <w:sz w:val="32"/>
          <w:szCs w:val="32"/>
          <w:lang w:eastAsia="zh-CN"/>
        </w:rPr>
        <w:t>”</w:t>
      </w:r>
      <w:r>
        <w:rPr>
          <w:rFonts w:hint="eastAsia" w:ascii="仿宋_GB2312" w:hAnsi="仿宋_GB2312" w:eastAsia="仿宋_GB2312" w:cs="仿宋_GB2312"/>
          <w:color w:val="auto"/>
          <w:spacing w:val="-4"/>
          <w:kern w:val="0"/>
          <w:sz w:val="32"/>
          <w:szCs w:val="32"/>
        </w:rPr>
        <w:t>指标中</w:t>
      </w:r>
      <w:r>
        <w:rPr>
          <w:rFonts w:hint="default" w:ascii="Times New Roman" w:hAnsi="Times New Roman" w:eastAsia="仿宋_GB2312" w:cs="Times New Roman"/>
          <w:color w:val="auto"/>
          <w:spacing w:val="-4"/>
          <w:kern w:val="0"/>
          <w:sz w:val="32"/>
          <w:szCs w:val="32"/>
        </w:rPr>
        <w:t>给予</w:t>
      </w:r>
      <w:r>
        <w:rPr>
          <w:rFonts w:hint="eastAsia" w:ascii="Times New Roman" w:hAnsi="Times New Roman" w:eastAsia="仿宋_GB2312" w:cs="Times New Roman"/>
          <w:color w:val="auto"/>
          <w:spacing w:val="-4"/>
          <w:kern w:val="0"/>
          <w:sz w:val="32"/>
          <w:szCs w:val="32"/>
          <w:lang w:eastAsia="zh-CN"/>
        </w:rPr>
        <w:t>加分</w:t>
      </w:r>
      <w:r>
        <w:rPr>
          <w:rFonts w:hint="default" w:ascii="Times New Roman" w:hAnsi="Times New Roman" w:eastAsia="仿宋_GB2312" w:cs="Times New Roman"/>
          <w:color w:val="auto"/>
          <w:spacing w:val="-4"/>
          <w:kern w:val="0"/>
          <w:sz w:val="32"/>
          <w:szCs w:val="32"/>
        </w:rPr>
        <w:t>。</w:t>
      </w:r>
    </w:p>
    <w:p>
      <w:pPr>
        <w:spacing w:line="600" w:lineRule="exact"/>
        <w:rPr>
          <w:kern w:val="0"/>
          <w:sz w:val="28"/>
          <w:szCs w:val="28"/>
        </w:rPr>
      </w:pPr>
      <w:r>
        <w:rPr>
          <w:rFonts w:hint="eastAsia" w:ascii="黑体" w:hAnsi="黑体" w:eastAsia="黑体" w:cs="黑体"/>
          <w:sz w:val="28"/>
          <w:szCs w:val="28"/>
        </w:rPr>
        <w:t>附</w:t>
      </w:r>
      <w:r>
        <w:rPr>
          <w:rFonts w:hint="eastAsia" w:ascii="黑体" w:hAnsi="黑体" w:eastAsia="黑体" w:cs="黑体"/>
          <w:sz w:val="28"/>
          <w:szCs w:val="28"/>
          <w:lang w:eastAsia="zh-CN"/>
        </w:rPr>
        <w:t>件</w:t>
      </w:r>
      <w:r>
        <w:rPr>
          <w:rFonts w:hint="eastAsia" w:ascii="黑体" w:hAnsi="黑体" w:eastAsia="黑体" w:cs="黑体"/>
          <w:sz w:val="28"/>
          <w:szCs w:val="28"/>
          <w:lang w:val="en-US" w:eastAsia="zh-CN"/>
        </w:rPr>
        <w:t>4</w:t>
      </w:r>
    </w:p>
    <w:p>
      <w:pPr>
        <w:spacing w:line="600" w:lineRule="exact"/>
        <w:jc w:val="center"/>
        <w:rPr>
          <w:rFonts w:eastAsia="方正小标宋简体"/>
          <w:sz w:val="36"/>
          <w:szCs w:val="36"/>
        </w:rPr>
      </w:pPr>
      <w:r>
        <w:rPr>
          <w:rFonts w:eastAsia="仿宋_GB2312"/>
          <w:kern w:val="0"/>
          <w:sz w:val="28"/>
          <w:szCs w:val="28"/>
        </w:rPr>
        <w:t xml:space="preserve"> </w:t>
      </w:r>
      <w:r>
        <w:rPr>
          <w:rFonts w:eastAsia="方正小标宋简体"/>
          <w:sz w:val="36"/>
          <w:szCs w:val="36"/>
        </w:rPr>
        <w:t xml:space="preserve"> </w:t>
      </w:r>
      <w:r>
        <w:rPr>
          <w:rFonts w:hint="eastAsia" w:eastAsia="方正小标宋简体"/>
          <w:sz w:val="36"/>
          <w:szCs w:val="36"/>
          <w:lang w:eastAsia="zh-CN"/>
        </w:rPr>
        <w:t>202</w:t>
      </w:r>
      <w:r>
        <w:rPr>
          <w:rFonts w:hint="eastAsia" w:eastAsia="方正小标宋简体"/>
          <w:sz w:val="36"/>
          <w:szCs w:val="36"/>
          <w:lang w:val="en-US" w:eastAsia="zh-CN"/>
        </w:rPr>
        <w:t>3</w:t>
      </w:r>
      <w:r>
        <w:rPr>
          <w:rFonts w:eastAsia="方正小标宋简体"/>
          <w:sz w:val="36"/>
          <w:szCs w:val="36"/>
        </w:rPr>
        <w:t>年度区绩效</w:t>
      </w:r>
      <w:r>
        <w:rPr>
          <w:rFonts w:hint="eastAsia" w:eastAsia="方正小标宋简体"/>
          <w:sz w:val="36"/>
          <w:szCs w:val="36"/>
          <w:lang w:eastAsia="zh-CN"/>
        </w:rPr>
        <w:t>评估</w:t>
      </w:r>
      <w:r>
        <w:rPr>
          <w:rFonts w:eastAsia="方正小标宋简体"/>
          <w:sz w:val="36"/>
          <w:szCs w:val="36"/>
        </w:rPr>
        <w:t>指标工作进度表</w:t>
      </w:r>
    </w:p>
    <w:p>
      <w:pPr>
        <w:spacing w:line="600" w:lineRule="exact"/>
        <w:rPr>
          <w:rFonts w:eastAsia="方正小标宋简体"/>
          <w:color w:val="000000"/>
          <w:sz w:val="36"/>
          <w:szCs w:val="36"/>
        </w:rPr>
      </w:pPr>
      <w:r>
        <w:rPr>
          <w:rFonts w:eastAsia="仿宋_GB2312"/>
          <w:b/>
          <w:bCs/>
          <w:color w:val="000000"/>
          <w:sz w:val="24"/>
        </w:rPr>
        <w:t>填报</w:t>
      </w:r>
      <w:r>
        <w:rPr>
          <w:rFonts w:hint="eastAsia" w:eastAsia="仿宋_GB2312"/>
          <w:b/>
          <w:bCs/>
          <w:color w:val="000000"/>
          <w:sz w:val="24"/>
          <w:lang w:eastAsia="zh-CN"/>
        </w:rPr>
        <w:t>组队</w:t>
      </w:r>
      <w:r>
        <w:rPr>
          <w:rFonts w:eastAsia="仿宋_GB2312"/>
          <w:b/>
          <w:bCs/>
          <w:color w:val="000000"/>
          <w:sz w:val="24"/>
        </w:rPr>
        <w:t xml:space="preserve">：        </w:t>
      </w:r>
      <w:r>
        <w:rPr>
          <w:rFonts w:eastAsia="仿宋_GB2312"/>
          <w:color w:val="000000"/>
          <w:sz w:val="24"/>
        </w:rPr>
        <w:t xml:space="preserve">                          </w:t>
      </w:r>
      <w:r>
        <w:rPr>
          <w:rFonts w:hint="eastAsia" w:eastAsia="仿宋_GB2312"/>
          <w:color w:val="000000"/>
          <w:sz w:val="24"/>
          <w:lang w:val="en-US" w:eastAsia="zh-CN"/>
        </w:rPr>
        <w:t xml:space="preserve">                        </w:t>
      </w:r>
      <w:r>
        <w:rPr>
          <w:rFonts w:hint="eastAsia" w:eastAsia="仿宋_GB2312"/>
          <w:b/>
          <w:bCs/>
          <w:color w:val="000000"/>
          <w:sz w:val="24"/>
          <w:lang w:eastAsia="zh-CN"/>
        </w:rPr>
        <w:t>填报</w:t>
      </w:r>
      <w:r>
        <w:rPr>
          <w:rFonts w:eastAsia="仿宋_GB2312"/>
          <w:b/>
          <w:bCs/>
          <w:color w:val="000000"/>
          <w:sz w:val="24"/>
        </w:rPr>
        <w:t>人：</w:t>
      </w:r>
      <w:r>
        <w:rPr>
          <w:rFonts w:hint="eastAsia" w:eastAsia="仿宋_GB2312"/>
          <w:b/>
          <w:bCs/>
          <w:color w:val="000000"/>
          <w:sz w:val="24"/>
          <w:lang w:val="en-US" w:eastAsia="zh-CN"/>
        </w:rPr>
        <w:t xml:space="preserve">           填报时间：   年   月   日</w:t>
      </w:r>
    </w:p>
    <w:tbl>
      <w:tblPr>
        <w:tblStyle w:val="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2355"/>
        <w:gridCol w:w="3855"/>
        <w:gridCol w:w="3345"/>
        <w:gridCol w:w="3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8" w:type="dxa"/>
            <w:noWrap w:val="0"/>
            <w:vAlign w:val="center"/>
          </w:tcPr>
          <w:p>
            <w:pPr>
              <w:numPr>
                <w:ilvl w:val="0"/>
                <w:numId w:val="0"/>
              </w:numPr>
              <w:spacing w:line="440" w:lineRule="exact"/>
              <w:jc w:val="center"/>
              <w:rPr>
                <w:rFonts w:hint="eastAsia" w:ascii="黑体" w:hAnsi="黑体" w:eastAsia="黑体" w:cs="黑体"/>
                <w:b w:val="0"/>
                <w:bCs/>
                <w:color w:val="000000"/>
                <w:sz w:val="24"/>
                <w:vertAlign w:val="baseline"/>
                <w:lang w:eastAsia="zh-CN"/>
              </w:rPr>
            </w:pPr>
            <w:r>
              <w:rPr>
                <w:rFonts w:hint="eastAsia" w:ascii="黑体" w:hAnsi="黑体" w:eastAsia="黑体" w:cs="黑体"/>
                <w:b w:val="0"/>
                <w:bCs/>
                <w:color w:val="000000"/>
                <w:sz w:val="24"/>
                <w:vertAlign w:val="baseline"/>
                <w:lang w:eastAsia="zh-CN"/>
              </w:rPr>
              <w:t>序号</w:t>
            </w:r>
          </w:p>
        </w:tc>
        <w:tc>
          <w:tcPr>
            <w:tcW w:w="2355" w:type="dxa"/>
            <w:noWrap w:val="0"/>
            <w:vAlign w:val="center"/>
          </w:tcPr>
          <w:p>
            <w:pPr>
              <w:numPr>
                <w:ilvl w:val="0"/>
                <w:numId w:val="0"/>
              </w:numPr>
              <w:spacing w:line="440" w:lineRule="exact"/>
              <w:jc w:val="center"/>
              <w:rPr>
                <w:rFonts w:hint="eastAsia" w:ascii="黑体" w:hAnsi="黑体" w:eastAsia="黑体" w:cs="黑体"/>
                <w:b w:val="0"/>
                <w:bCs/>
                <w:color w:val="000000"/>
                <w:sz w:val="24"/>
                <w:vertAlign w:val="baseline"/>
                <w:lang w:val="en-US" w:eastAsia="zh-CN"/>
              </w:rPr>
            </w:pPr>
            <w:r>
              <w:rPr>
                <w:rFonts w:hint="eastAsia" w:ascii="黑体" w:hAnsi="黑体" w:eastAsia="黑体" w:cs="黑体"/>
                <w:b w:val="0"/>
                <w:bCs/>
                <w:color w:val="000000"/>
                <w:sz w:val="24"/>
                <w:vertAlign w:val="baseline"/>
                <w:lang w:eastAsia="zh-CN"/>
              </w:rPr>
              <w:t>指标名称</w:t>
            </w:r>
          </w:p>
        </w:tc>
        <w:tc>
          <w:tcPr>
            <w:tcW w:w="3855" w:type="dxa"/>
            <w:noWrap w:val="0"/>
            <w:vAlign w:val="center"/>
          </w:tcPr>
          <w:p>
            <w:pPr>
              <w:numPr>
                <w:ilvl w:val="0"/>
                <w:numId w:val="0"/>
              </w:numPr>
              <w:spacing w:line="440" w:lineRule="exact"/>
              <w:jc w:val="center"/>
              <w:rPr>
                <w:rFonts w:hint="eastAsia" w:ascii="黑体" w:hAnsi="黑体" w:eastAsia="黑体" w:cs="黑体"/>
                <w:b w:val="0"/>
                <w:bCs/>
                <w:color w:val="000000"/>
                <w:sz w:val="24"/>
                <w:vertAlign w:val="baseline"/>
                <w:lang w:eastAsia="zh-CN"/>
              </w:rPr>
            </w:pPr>
            <w:r>
              <w:rPr>
                <w:rFonts w:hint="eastAsia" w:ascii="黑体" w:hAnsi="黑体" w:eastAsia="黑体" w:cs="黑体"/>
                <w:b w:val="0"/>
                <w:bCs/>
                <w:color w:val="000000"/>
                <w:sz w:val="24"/>
                <w:vertAlign w:val="baseline"/>
                <w:lang w:eastAsia="zh-CN"/>
              </w:rPr>
              <w:t>指标工作进展情况</w:t>
            </w:r>
          </w:p>
        </w:tc>
        <w:tc>
          <w:tcPr>
            <w:tcW w:w="3345" w:type="dxa"/>
            <w:noWrap w:val="0"/>
            <w:vAlign w:val="center"/>
          </w:tcPr>
          <w:p>
            <w:pPr>
              <w:numPr>
                <w:ilvl w:val="0"/>
                <w:numId w:val="0"/>
              </w:numPr>
              <w:spacing w:line="440" w:lineRule="exact"/>
              <w:jc w:val="center"/>
              <w:rPr>
                <w:rFonts w:hint="eastAsia" w:ascii="黑体" w:hAnsi="黑体" w:eastAsia="黑体" w:cs="黑体"/>
                <w:b w:val="0"/>
                <w:bCs/>
                <w:color w:val="000000"/>
                <w:sz w:val="24"/>
                <w:vertAlign w:val="baseline"/>
                <w:lang w:eastAsia="zh-CN"/>
              </w:rPr>
            </w:pPr>
            <w:r>
              <w:rPr>
                <w:rFonts w:hint="eastAsia" w:ascii="黑体" w:hAnsi="黑体" w:eastAsia="黑体" w:cs="黑体"/>
                <w:b w:val="0"/>
                <w:bCs/>
                <w:color w:val="000000"/>
                <w:sz w:val="24"/>
                <w:vertAlign w:val="baseline"/>
                <w:lang w:eastAsia="zh-CN"/>
              </w:rPr>
              <w:t>存在的问题</w:t>
            </w:r>
          </w:p>
        </w:tc>
        <w:tc>
          <w:tcPr>
            <w:tcW w:w="3720" w:type="dxa"/>
            <w:noWrap w:val="0"/>
            <w:vAlign w:val="center"/>
          </w:tcPr>
          <w:p>
            <w:pPr>
              <w:numPr>
                <w:ilvl w:val="0"/>
                <w:numId w:val="0"/>
              </w:numPr>
              <w:spacing w:line="440" w:lineRule="exact"/>
              <w:jc w:val="center"/>
              <w:rPr>
                <w:rFonts w:hint="eastAsia" w:ascii="黑体" w:hAnsi="黑体" w:eastAsia="黑体" w:cs="黑体"/>
                <w:b w:val="0"/>
                <w:bCs/>
                <w:color w:val="000000"/>
                <w:sz w:val="24"/>
                <w:vertAlign w:val="baseline"/>
                <w:lang w:eastAsia="zh-CN"/>
              </w:rPr>
            </w:pPr>
            <w:r>
              <w:rPr>
                <w:rFonts w:hint="eastAsia" w:ascii="黑体" w:hAnsi="黑体" w:eastAsia="黑体" w:cs="黑体"/>
                <w:b w:val="0"/>
                <w:bCs/>
                <w:color w:val="000000"/>
                <w:sz w:val="24"/>
                <w:vertAlign w:val="baseline"/>
                <w:lang w:eastAsia="zh-CN"/>
              </w:rPr>
              <w:t>下一步整改措施及完成时限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5" w:hRule="atLeast"/>
        </w:trPr>
        <w:tc>
          <w:tcPr>
            <w:tcW w:w="698"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23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8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34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720" w:type="dxa"/>
            <w:noWrap w:val="0"/>
            <w:vAlign w:val="center"/>
          </w:tcPr>
          <w:p>
            <w:pPr>
              <w:numPr>
                <w:ilvl w:val="0"/>
                <w:numId w:val="0"/>
              </w:numPr>
              <w:spacing w:line="440" w:lineRule="exact"/>
              <w:jc w:val="center"/>
              <w:rPr>
                <w:rFonts w:hint="eastAsia" w:eastAsia="仿宋_GB2312"/>
                <w:bCs/>
                <w:color w:val="000000"/>
                <w:sz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698"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23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8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34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720" w:type="dxa"/>
            <w:noWrap w:val="0"/>
            <w:vAlign w:val="center"/>
          </w:tcPr>
          <w:p>
            <w:pPr>
              <w:numPr>
                <w:ilvl w:val="0"/>
                <w:numId w:val="0"/>
              </w:numPr>
              <w:spacing w:line="440" w:lineRule="exact"/>
              <w:jc w:val="center"/>
              <w:rPr>
                <w:rFonts w:hint="eastAsia" w:eastAsia="仿宋_GB2312"/>
                <w:bCs/>
                <w:color w:val="000000"/>
                <w:sz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698"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23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8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34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720" w:type="dxa"/>
            <w:noWrap w:val="0"/>
            <w:vAlign w:val="center"/>
          </w:tcPr>
          <w:p>
            <w:pPr>
              <w:numPr>
                <w:ilvl w:val="0"/>
                <w:numId w:val="0"/>
              </w:numPr>
              <w:spacing w:line="440" w:lineRule="exact"/>
              <w:jc w:val="center"/>
              <w:rPr>
                <w:rFonts w:hint="eastAsia" w:eastAsia="仿宋_GB2312"/>
                <w:bCs/>
                <w:color w:val="000000"/>
                <w:sz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698"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23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8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34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720" w:type="dxa"/>
            <w:noWrap w:val="0"/>
            <w:vAlign w:val="center"/>
          </w:tcPr>
          <w:p>
            <w:pPr>
              <w:numPr>
                <w:ilvl w:val="0"/>
                <w:numId w:val="0"/>
              </w:numPr>
              <w:spacing w:line="440" w:lineRule="exact"/>
              <w:jc w:val="center"/>
              <w:rPr>
                <w:rFonts w:hint="eastAsia" w:eastAsia="仿宋_GB2312"/>
                <w:bCs/>
                <w:color w:val="000000"/>
                <w:sz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698"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23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85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345" w:type="dxa"/>
            <w:noWrap w:val="0"/>
            <w:vAlign w:val="center"/>
          </w:tcPr>
          <w:p>
            <w:pPr>
              <w:numPr>
                <w:ilvl w:val="0"/>
                <w:numId w:val="0"/>
              </w:numPr>
              <w:spacing w:line="440" w:lineRule="exact"/>
              <w:jc w:val="center"/>
              <w:rPr>
                <w:rFonts w:hint="eastAsia" w:eastAsia="仿宋_GB2312"/>
                <w:bCs/>
                <w:color w:val="000000"/>
                <w:sz w:val="24"/>
                <w:vertAlign w:val="baseline"/>
              </w:rPr>
            </w:pPr>
          </w:p>
        </w:tc>
        <w:tc>
          <w:tcPr>
            <w:tcW w:w="3720" w:type="dxa"/>
            <w:noWrap w:val="0"/>
            <w:vAlign w:val="center"/>
          </w:tcPr>
          <w:p>
            <w:pPr>
              <w:numPr>
                <w:ilvl w:val="0"/>
                <w:numId w:val="0"/>
              </w:numPr>
              <w:spacing w:line="440" w:lineRule="exact"/>
              <w:jc w:val="center"/>
              <w:rPr>
                <w:rFonts w:hint="eastAsia" w:eastAsia="仿宋_GB2312"/>
                <w:bCs/>
                <w:color w:val="000000"/>
                <w:sz w:val="24"/>
                <w:vertAlign w:val="baseline"/>
              </w:rPr>
            </w:pPr>
          </w:p>
        </w:tc>
      </w:tr>
    </w:tbl>
    <w:p>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szCs w:val="32"/>
        </w:rPr>
        <w:sectPr>
          <w:pgSz w:w="16840" w:h="11907" w:orient="landscape"/>
          <w:pgMar w:top="1531" w:right="1531" w:bottom="1417" w:left="1417" w:header="851" w:footer="992" w:gutter="0"/>
          <w:pgNumType w:fmt="numberInDash"/>
          <w:cols w:space="0" w:num="1"/>
          <w:rtlGutter w:val="0"/>
          <w:docGrid w:type="lines" w:linePitch="319" w:charSpace="0"/>
        </w:sectPr>
      </w:pPr>
      <w:r>
        <w:rPr>
          <w:rFonts w:hint="eastAsia" w:eastAsia="仿宋_GB2312"/>
          <w:color w:val="000000"/>
          <w:sz w:val="24"/>
          <w:lang w:eastAsia="zh-CN"/>
        </w:rPr>
        <w:t>备注</w:t>
      </w:r>
      <w:r>
        <w:rPr>
          <w:rFonts w:eastAsia="仿宋_GB2312"/>
          <w:color w:val="000000"/>
          <w:sz w:val="24"/>
        </w:rPr>
        <w:t>：请各</w:t>
      </w:r>
      <w:r>
        <w:rPr>
          <w:rFonts w:hint="eastAsia" w:eastAsia="仿宋_GB2312"/>
          <w:color w:val="000000"/>
          <w:sz w:val="24"/>
          <w:lang w:eastAsia="zh-CN"/>
        </w:rPr>
        <w:t>组队分别</w:t>
      </w:r>
      <w:r>
        <w:rPr>
          <w:rFonts w:eastAsia="仿宋_GB2312"/>
          <w:color w:val="000000"/>
          <w:sz w:val="24"/>
        </w:rPr>
        <w:t>于</w:t>
      </w:r>
      <w:r>
        <w:rPr>
          <w:rFonts w:hint="eastAsia" w:eastAsia="仿宋_GB2312"/>
          <w:b/>
          <w:bCs/>
          <w:color w:val="000000"/>
          <w:sz w:val="24"/>
          <w:lang w:val="en-US" w:eastAsia="zh-CN"/>
        </w:rPr>
        <w:t>2023年9月30日、12月31日</w:t>
      </w:r>
      <w:r>
        <w:rPr>
          <w:rFonts w:eastAsia="仿宋_GB2312"/>
          <w:color w:val="000000"/>
          <w:sz w:val="24"/>
        </w:rPr>
        <w:t>前将</w:t>
      </w:r>
      <w:r>
        <w:rPr>
          <w:rFonts w:hint="eastAsia" w:eastAsia="仿宋_GB2312"/>
          <w:b/>
          <w:bCs/>
          <w:color w:val="000000"/>
          <w:sz w:val="24"/>
          <w:lang w:eastAsia="zh-CN"/>
        </w:rPr>
        <w:t>前三季度、全年</w:t>
      </w:r>
      <w:r>
        <w:rPr>
          <w:rFonts w:eastAsia="仿宋_GB2312"/>
          <w:color w:val="000000"/>
          <w:sz w:val="24"/>
        </w:rPr>
        <w:t>绩效指标任务进展情况填写完整后</w:t>
      </w:r>
      <w:r>
        <w:rPr>
          <w:rFonts w:hint="eastAsia" w:eastAsia="仿宋_GB2312"/>
          <w:color w:val="000000"/>
          <w:sz w:val="24"/>
          <w:lang w:eastAsia="zh-CN"/>
        </w:rPr>
        <w:t>报</w:t>
      </w:r>
      <w:r>
        <w:rPr>
          <w:rFonts w:eastAsia="仿宋_GB2312"/>
          <w:color w:val="000000"/>
          <w:sz w:val="24"/>
        </w:rPr>
        <w:t>送</w:t>
      </w:r>
      <w:r>
        <w:rPr>
          <w:rFonts w:hint="eastAsia" w:eastAsia="仿宋_GB2312"/>
          <w:color w:val="000000"/>
          <w:sz w:val="24"/>
          <w:lang w:eastAsia="zh-CN"/>
        </w:rPr>
        <w:t>至综合组。</w:t>
      </w:r>
      <w:bookmarkStart w:id="0" w:name="_GoBack"/>
      <w:bookmarkEnd w:id="0"/>
    </w:p>
    <w:p>
      <w:pPr>
        <w:tabs>
          <w:tab w:val="left" w:pos="3172"/>
        </w:tabs>
        <w:bidi w:val="0"/>
        <w:jc w:val="left"/>
        <w:rPr>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222250" cy="306705"/>
              <wp:effectExtent l="0" t="0" r="0" b="0"/>
              <wp:wrapNone/>
              <wp:docPr id="1" name="文本框 1"/>
              <wp:cNvGraphicFramePr/>
              <a:graphic xmlns:a="http://schemas.openxmlformats.org/drawingml/2006/main">
                <a:graphicData uri="http://schemas.microsoft.com/office/word/2010/wordprocessingShape">
                  <wps:wsp>
                    <wps:cNvSpPr txBox="1"/>
                    <wps:spPr>
                      <a:xfrm>
                        <a:off x="0" y="0"/>
                        <a:ext cx="222250" cy="306705"/>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w:t>
                          </w:r>
                          <w:r>
                            <w:rPr>
                              <w:sz w:val="18"/>
                            </w:rPr>
                            <w:t xml:space="preserve"> 6 -</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24.15pt;width:17.5pt;mso-position-horizontal:outside;mso-position-horizontal-relative:margin;mso-wrap-style:none;z-index:251659264;mso-width-relative:page;mso-height-relative:page;" fillcolor="#FFFFFF" filled="f" o:preferrelative="t" stroked="f" coordsize="21600,21600" o:gfxdata="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F1zvmnRAAAAAwEAAA8AAAAAAAAAAQAgAAAAIgAAAGRycy9kb3du&#10;cmV2LnhtbFBLAQIUABQAAAAIAIdO4kD8J2+MzQEAAJcDAAAOAAAAAAAAAAEAIAAAACABAABkcnMv&#10;ZTJvRG9jLnhtbFBLBQYAAAAABgAGAFkBAABfBQAAAAA=&#10;">
              <v:path/>
              <v:fill on="f" color2="#FFFFFF" focussize="0,0"/>
              <v:stroke on="f"/>
              <v:imagedata gain="65536f" blacklevel="0f" gamma="0" o:title=""/>
              <o:lock v:ext="edit" position="f" selection="f" grouping="f" rotation="f" cropping="f" text="f"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w:t>
                    </w:r>
                    <w:r>
                      <w:rPr>
                        <w:sz w:val="18"/>
                      </w:rPr>
                      <w:t xml:space="preserve"> 6 -</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6"/>
      </w:rPr>
    </w:pPr>
    <w:r>
      <w:fldChar w:fldCharType="begin"/>
    </w:r>
    <w:r>
      <w:rPr>
        <w:rStyle w:val="6"/>
      </w:rPr>
      <w:instrText xml:space="preserve">PAGE  </w:instrText>
    </w:r>
    <w:r>
      <w:fldChar w:fldCharType="separate"/>
    </w:r>
    <w:r>
      <w:rPr>
        <w:rStyle w:val="6"/>
      </w:rPr>
      <w:t>- 2 -</w:t>
    </w:r>
    <w:r>
      <w:fldChar w:fldCharType="end"/>
    </w:r>
  </w:p>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I5N2I3NWNkZDU4YTIxNmIzMGU1MmZlZjI2Njg1YjUifQ=="/>
  </w:docVars>
  <w:rsids>
    <w:rsidRoot w:val="7E2F3576"/>
    <w:rsid w:val="7E2F35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Normal Indent"/>
    <w:basedOn w:val="1"/>
    <w:next w:val="1"/>
    <w:qFormat/>
    <w:uiPriority w:val="0"/>
    <w:pPr>
      <w:ind w:firstLine="420"/>
    </w:pPr>
  </w:style>
  <w:style w:type="paragraph" w:styleId="3">
    <w:name w:val="footer"/>
    <w:basedOn w:val="1"/>
    <w:unhideWhenUsed/>
    <w:qFormat/>
    <w:uiPriority w:val="0"/>
    <w:pPr>
      <w:tabs>
        <w:tab w:val="center" w:pos="4153"/>
        <w:tab w:val="right" w:pos="8306"/>
      </w:tabs>
      <w:snapToGrid w:val="0"/>
      <w:jc w:val="left"/>
    </w:pPr>
    <w:rPr>
      <w:sz w:val="18"/>
      <w:szCs w:val="18"/>
    </w:rPr>
  </w:style>
  <w:style w:type="character" w:styleId="6">
    <w:name w:val="page number"/>
    <w:basedOn w:val="5"/>
    <w:unhideWhenUsed/>
    <w:qFormat/>
    <w:uiPriority w:val="99"/>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2023-07-19T08:04:00Z</dcterms:created>
  <dc:creator>Administrator</dc:creator>
  <cp:lastModifiedBy>Administrator</cp:lastModifiedBy>
  <dcterms:modified xsi:type="dcterms:W3CDTF">2023-07-19T08:06:47Z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926D04F0581840149AC8F9EB63479029_11</vt:lpwstr>
  </property>
</Properties>
</file>