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default" w:eastAsia="黑体"/>
          <w:sz w:val="32"/>
          <w:szCs w:val="32"/>
        </w:rPr>
      </w:pPr>
      <w:r>
        <w:rPr>
          <w:rFonts w:hint="default" w:hAnsi="黑体" w:eastAsia="黑体"/>
          <w:sz w:val="32"/>
          <w:szCs w:val="32"/>
        </w:rPr>
        <w:t>附件</w:t>
      </w:r>
      <w:r>
        <w:rPr>
          <w:rFonts w:hint="default" w:eastAsia="黑体"/>
          <w:sz w:val="32"/>
          <w:szCs w:val="32"/>
        </w:rPr>
        <w:t>1</w:t>
      </w:r>
    </w:p>
    <w:p>
      <w:pPr>
        <w:adjustRightInd w:val="0"/>
        <w:snapToGrid w:val="0"/>
        <w:spacing w:line="579" w:lineRule="exact"/>
        <w:jc w:val="center"/>
        <w:rPr>
          <w:rFonts w:eastAsia="方正小标宋简体"/>
          <w:bCs/>
          <w:sz w:val="36"/>
          <w:szCs w:val="36"/>
        </w:rPr>
      </w:pPr>
    </w:p>
    <w:p>
      <w:pPr>
        <w:adjustRightInd w:val="0"/>
        <w:snapToGrid w:val="0"/>
        <w:spacing w:line="579" w:lineRule="exact"/>
        <w:jc w:val="center"/>
        <w:rPr>
          <w:rFonts w:eastAsia="方正小标宋简体"/>
          <w:bCs/>
          <w:color w:val="000000"/>
          <w:sz w:val="36"/>
          <w:szCs w:val="36"/>
        </w:rPr>
      </w:pPr>
      <w:bookmarkStart w:id="0" w:name="_GoBack"/>
      <w:r>
        <w:rPr>
          <w:rFonts w:eastAsia="方正小标宋简体"/>
          <w:bCs/>
          <w:sz w:val="36"/>
          <w:szCs w:val="36"/>
        </w:rPr>
        <w:t>高层建筑</w:t>
      </w:r>
      <w:r>
        <w:rPr>
          <w:rFonts w:eastAsia="方正小标宋简体"/>
          <w:bCs/>
          <w:color w:val="000000"/>
          <w:sz w:val="36"/>
          <w:szCs w:val="36"/>
        </w:rPr>
        <w:t>重大火灾风险</w:t>
      </w:r>
    </w:p>
    <w:p>
      <w:pPr>
        <w:adjustRightInd w:val="0"/>
        <w:snapToGrid w:val="0"/>
        <w:spacing w:line="579" w:lineRule="exact"/>
        <w:jc w:val="center"/>
        <w:rPr>
          <w:rFonts w:eastAsia="方正小标宋简体"/>
          <w:bCs/>
          <w:sz w:val="36"/>
          <w:szCs w:val="36"/>
        </w:rPr>
      </w:pPr>
      <w:r>
        <w:rPr>
          <w:rFonts w:eastAsia="方正小标宋简体"/>
          <w:bCs/>
          <w:sz w:val="36"/>
          <w:szCs w:val="36"/>
        </w:rPr>
        <w:t>评估情况登记表</w:t>
      </w:r>
    </w:p>
    <w:bookmarkEnd w:id="0"/>
    <w:p>
      <w:pPr>
        <w:adjustRightInd w:val="0"/>
        <w:snapToGrid w:val="0"/>
        <w:spacing w:line="600" w:lineRule="exact"/>
        <w:rPr>
          <w:rFonts w:ascii="方正楷体_GBK" w:eastAsia="方正楷体_GBK"/>
          <w:b/>
          <w:bCs/>
          <w:sz w:val="32"/>
          <w:szCs w:val="32"/>
        </w:rPr>
      </w:pPr>
    </w:p>
    <w:p>
      <w:pPr>
        <w:adjustRightInd w:val="0"/>
        <w:snapToGrid w:val="0"/>
        <w:spacing w:line="600" w:lineRule="exact"/>
        <w:rPr>
          <w:rFonts w:ascii="仿宋_GB2312" w:eastAsia="仿宋_GB2312"/>
          <w:bCs/>
          <w:sz w:val="32"/>
          <w:szCs w:val="32"/>
        </w:rPr>
      </w:pPr>
      <w:r>
        <w:rPr>
          <w:rFonts w:ascii="仿宋_GB2312" w:eastAsia="仿宋_GB2312"/>
          <w:bCs/>
          <w:sz w:val="32"/>
          <w:szCs w:val="32"/>
        </w:rPr>
        <w:t>建筑管理使用单位(公章):</w:t>
      </w:r>
    </w:p>
    <w:tbl>
      <w:tblPr>
        <w:tblStyle w:val="4"/>
        <w:tblW w:w="906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535"/>
        <w:gridCol w:w="3235"/>
        <w:gridCol w:w="741"/>
        <w:gridCol w:w="2278"/>
        <w:gridCol w:w="1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3" w:hRule="atLeast"/>
          <w:jc w:val="center"/>
        </w:trPr>
        <w:tc>
          <w:tcPr>
            <w:tcW w:w="1236" w:type="dxa"/>
            <w:gridSpan w:val="2"/>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建筑名称</w:t>
            </w:r>
          </w:p>
        </w:tc>
        <w:tc>
          <w:tcPr>
            <w:tcW w:w="3235" w:type="dxa"/>
            <w:noWrap w:val="0"/>
            <w:vAlign w:val="center"/>
          </w:tcPr>
          <w:p>
            <w:pPr>
              <w:adjustRightInd w:val="0"/>
              <w:snapToGrid w:val="0"/>
              <w:spacing w:line="260" w:lineRule="exact"/>
              <w:jc w:val="center"/>
              <w:rPr>
                <w:rFonts w:hint="default" w:eastAsia="仿宋_GB2312"/>
                <w:sz w:val="24"/>
                <w:szCs w:val="24"/>
              </w:rPr>
            </w:pPr>
          </w:p>
          <w:p>
            <w:pPr>
              <w:adjustRightInd w:val="0"/>
              <w:snapToGrid w:val="0"/>
              <w:spacing w:line="260" w:lineRule="exact"/>
              <w:rPr>
                <w:rFonts w:hint="default" w:eastAsia="仿宋_GB2312"/>
                <w:sz w:val="24"/>
                <w:szCs w:val="24"/>
              </w:rPr>
            </w:pPr>
          </w:p>
        </w:tc>
        <w:tc>
          <w:tcPr>
            <w:tcW w:w="741" w:type="dxa"/>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地址</w:t>
            </w:r>
          </w:p>
        </w:tc>
        <w:tc>
          <w:tcPr>
            <w:tcW w:w="3849" w:type="dxa"/>
            <w:gridSpan w:val="2"/>
            <w:noWrap w:val="0"/>
            <w:vAlign w:val="center"/>
          </w:tcPr>
          <w:p>
            <w:pPr>
              <w:adjustRightInd w:val="0"/>
              <w:snapToGrid w:val="0"/>
              <w:spacing w:line="320" w:lineRule="exact"/>
              <w:jc w:val="center"/>
              <w:rPr>
                <w:rFonts w:hint="default"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2" w:hRule="atLeast"/>
          <w:jc w:val="center"/>
        </w:trPr>
        <w:tc>
          <w:tcPr>
            <w:tcW w:w="1236" w:type="dxa"/>
            <w:gridSpan w:val="2"/>
            <w:noWrap w:val="0"/>
            <w:vAlign w:val="center"/>
          </w:tcPr>
          <w:p>
            <w:pPr>
              <w:adjustRightInd w:val="0"/>
              <w:snapToGrid w:val="0"/>
              <w:spacing w:line="260" w:lineRule="exact"/>
              <w:jc w:val="center"/>
              <w:rPr>
                <w:rFonts w:hint="default" w:eastAsia="仿宋_GB2312"/>
                <w:b/>
                <w:sz w:val="24"/>
              </w:rPr>
            </w:pPr>
            <w:r>
              <w:rPr>
                <w:rFonts w:hint="default" w:eastAsia="仿宋_GB2312"/>
                <w:b/>
                <w:sz w:val="24"/>
              </w:rPr>
              <w:t>建筑基本情况</w:t>
            </w:r>
          </w:p>
        </w:tc>
        <w:tc>
          <w:tcPr>
            <w:tcW w:w="7825" w:type="dxa"/>
            <w:gridSpan w:val="4"/>
            <w:noWrap w:val="0"/>
            <w:vAlign w:val="top"/>
          </w:tcPr>
          <w:p>
            <w:pPr>
              <w:adjustRightInd w:val="0"/>
              <w:snapToGrid w:val="0"/>
              <w:spacing w:line="300" w:lineRule="exact"/>
              <w:rPr>
                <w:rFonts w:hint="default" w:eastAsia="仿宋_GB2312"/>
                <w:sz w:val="13"/>
                <w:szCs w:val="13"/>
              </w:rPr>
            </w:pPr>
            <w:r>
              <w:rPr>
                <w:rFonts w:hint="default" w:eastAsia="仿宋_GB2312"/>
                <w:sz w:val="24"/>
                <w:szCs w:val="24"/>
              </w:rPr>
              <w:t>建筑层数：       ；建筑高度：    米；建筑面积：     平方米；</w:t>
            </w:r>
          </w:p>
          <w:p>
            <w:pPr>
              <w:adjustRightInd w:val="0"/>
              <w:snapToGrid w:val="0"/>
              <w:spacing w:line="300" w:lineRule="exact"/>
              <w:rPr>
                <w:rFonts w:hint="default" w:eastAsia="仿宋_GB2312"/>
                <w:sz w:val="24"/>
                <w:szCs w:val="24"/>
              </w:rPr>
            </w:pPr>
            <w:r>
              <w:rPr>
                <w:rFonts w:hint="default" w:eastAsia="仿宋_GB2312"/>
                <w:sz w:val="24"/>
                <w:szCs w:val="24"/>
              </w:rPr>
              <w:t xml:space="preserve">建筑类型： □公共建筑(□超高层公共建筑 □老旧商住混合体 □其他)      </w:t>
            </w:r>
          </w:p>
          <w:p>
            <w:pPr>
              <w:adjustRightInd w:val="0"/>
              <w:snapToGrid w:val="0"/>
              <w:spacing w:line="300" w:lineRule="exact"/>
              <w:ind w:firstLine="1320" w:firstLineChars="550"/>
              <w:rPr>
                <w:rFonts w:hint="default" w:eastAsia="仿宋_GB2312"/>
                <w:sz w:val="24"/>
                <w:szCs w:val="24"/>
              </w:rPr>
            </w:pPr>
            <w:r>
              <w:rPr>
                <w:rFonts w:hint="default" w:eastAsia="仿宋_GB2312"/>
                <w:sz w:val="24"/>
                <w:szCs w:val="24"/>
              </w:rPr>
              <w:t xml:space="preserve">□住宅建筑(□超高层住宅建筑 □老旧高层住宅   □其他)     </w:t>
            </w:r>
          </w:p>
          <w:p>
            <w:pPr>
              <w:adjustRightInd w:val="0"/>
              <w:snapToGrid w:val="0"/>
              <w:spacing w:line="300" w:lineRule="exact"/>
              <w:rPr>
                <w:rFonts w:hint="default" w:eastAsia="仿宋_GB2312"/>
              </w:rPr>
            </w:pPr>
            <w:r>
              <w:rPr>
                <w:rFonts w:hint="default" w:eastAsia="仿宋_GB2312"/>
                <w:sz w:val="24"/>
                <w:szCs w:val="24"/>
              </w:rPr>
              <w:t xml:space="preserve">管理使用单位名称：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 w:hRule="atLeast"/>
          <w:jc w:val="center"/>
        </w:trPr>
        <w:tc>
          <w:tcPr>
            <w:tcW w:w="7490" w:type="dxa"/>
            <w:gridSpan w:val="5"/>
            <w:noWrap w:val="0"/>
            <w:vAlign w:val="center"/>
          </w:tcPr>
          <w:p>
            <w:pPr>
              <w:adjustRightInd w:val="0"/>
              <w:snapToGrid w:val="0"/>
              <w:spacing w:line="260" w:lineRule="exact"/>
              <w:jc w:val="center"/>
              <w:rPr>
                <w:rFonts w:hint="default" w:eastAsia="仿宋_GB2312"/>
                <w:b/>
                <w:sz w:val="24"/>
              </w:rPr>
            </w:pPr>
            <w:r>
              <w:rPr>
                <w:rFonts w:hint="default" w:eastAsia="仿宋_GB2312"/>
                <w:b/>
                <w:sz w:val="24"/>
              </w:rPr>
              <w:t>检查内容</w:t>
            </w:r>
          </w:p>
        </w:tc>
        <w:tc>
          <w:tcPr>
            <w:tcW w:w="1571" w:type="dxa"/>
            <w:noWrap w:val="0"/>
            <w:vAlign w:val="center"/>
          </w:tcPr>
          <w:p>
            <w:pPr>
              <w:adjustRightInd w:val="0"/>
              <w:snapToGrid w:val="0"/>
              <w:spacing w:line="260" w:lineRule="exact"/>
              <w:jc w:val="center"/>
              <w:rPr>
                <w:rFonts w:hint="default" w:eastAsia="仿宋_GB2312"/>
                <w:b/>
                <w:sz w:val="24"/>
              </w:rPr>
            </w:pPr>
            <w:r>
              <w:rPr>
                <w:rFonts w:hint="default" w:eastAsia="仿宋_GB2312"/>
                <w:b/>
                <w:sz w:val="24"/>
              </w:rPr>
              <w:t>检查情况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装修装饰材料管理</w:t>
            </w:r>
          </w:p>
        </w:tc>
        <w:tc>
          <w:tcPr>
            <w:tcW w:w="6789" w:type="dxa"/>
            <w:gridSpan w:val="4"/>
            <w:noWrap w:val="0"/>
            <w:vAlign w:val="center"/>
          </w:tcPr>
          <w:p>
            <w:pPr>
              <w:adjustRightInd w:val="0"/>
              <w:snapToGrid w:val="0"/>
              <w:spacing w:line="360" w:lineRule="exact"/>
              <w:rPr>
                <w:rFonts w:hint="default" w:eastAsia="仿宋_GB2312"/>
                <w:spacing w:val="-8"/>
                <w:sz w:val="24"/>
                <w:szCs w:val="24"/>
              </w:rPr>
            </w:pPr>
            <w:r>
              <w:rPr>
                <w:rFonts w:hint="default" w:eastAsia="仿宋_GB2312"/>
                <w:spacing w:val="-8"/>
                <w:sz w:val="24"/>
                <w:szCs w:val="24"/>
              </w:rPr>
              <w:t>1.建筑外墙外保温材料是否为易燃、可燃材料。</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6"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pacing w:val="-8"/>
                <w:sz w:val="24"/>
                <w:szCs w:val="24"/>
              </w:rPr>
              <w:t>2.</w:t>
            </w:r>
            <w:r>
              <w:rPr>
                <w:rFonts w:hint="default" w:eastAsia="仿宋_GB2312"/>
                <w:sz w:val="24"/>
                <w:szCs w:val="24"/>
              </w:rPr>
              <w:t xml:space="preserve"> 屋面、地下室等区域使用易燃可燃夹心彩钢板搭建临时用房。</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9"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pacing w:val="-8"/>
                <w:sz w:val="24"/>
                <w:szCs w:val="24"/>
              </w:rPr>
            </w:pPr>
            <w:r>
              <w:rPr>
                <w:rFonts w:hint="default" w:eastAsia="仿宋_GB2312"/>
                <w:sz w:val="24"/>
                <w:szCs w:val="24"/>
              </w:rPr>
              <w:t>3.电气线路穿越具有聚氨酯材料的保温层时，应采取穿金属导管等防火保护措施。</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9"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 xml:space="preserve">4. </w:t>
            </w:r>
            <w:r>
              <w:rPr>
                <w:rFonts w:hint="default" w:eastAsia="仿宋_GB2312"/>
                <w:spacing w:val="-8"/>
                <w:sz w:val="24"/>
                <w:szCs w:val="24"/>
              </w:rPr>
              <w:t>建筑内部的配电箱、插座等是否直接安装在易燃可燃的装修材料(B2级及以下)上。</w:t>
            </w:r>
            <w:r>
              <w:rPr>
                <w:rFonts w:hint="default" w:eastAsia="仿宋_GB2312"/>
                <w:sz w:val="24"/>
                <w:szCs w:val="24"/>
              </w:rPr>
              <w:t>电气线路敷设是否采取穿金属导管或采用封闭式金属槽盒等防火保护措施。</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3"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防火分隔及间距管理</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5. 防火分隔设施（防火墙、防火隔墙、防火门窗、防火卷帘等）是否完好无损。竖向管井和电缆桥架未按要求进行防火封堵。</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1"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6.建筑住宅与非住宅部分的安全疏散是否分开独立设置，互不连通；汽车库、非机动车库与高层住宅建筑、商住建筑是否采用防火墙和防火门分隔。</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7. 建筑的地下室（地下或半地下部分）与地上部分是否在首层采用实体墙和乙级防火门将地下或半地下部分与地上部分的连通部位完全分隔（即不能直接连通），并设置明显的标志。</w:t>
            </w:r>
          </w:p>
        </w:tc>
        <w:tc>
          <w:tcPr>
            <w:tcW w:w="1571" w:type="dxa"/>
            <w:vMerge w:val="restart"/>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8. 高层建筑之间是否违规搭建遮雨棚、临时建筑物或堆物占用建筑防火间距。</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jc w:val="center"/>
        </w:trPr>
        <w:tc>
          <w:tcPr>
            <w:tcW w:w="701" w:type="dxa"/>
            <w:vMerge w:val="restart"/>
            <w:noWrap w:val="0"/>
            <w:vAlign w:val="center"/>
          </w:tcPr>
          <w:p>
            <w:pPr>
              <w:adjustRightInd w:val="0"/>
              <w:snapToGrid w:val="0"/>
              <w:spacing w:line="260" w:lineRule="exact"/>
              <w:jc w:val="center"/>
              <w:rPr>
                <w:rFonts w:hint="default" w:eastAsia="仿宋_GB2312"/>
                <w:sz w:val="24"/>
                <w:szCs w:val="24"/>
              </w:rPr>
            </w:pPr>
            <w:r>
              <w:rPr>
                <w:rFonts w:hint="default" w:eastAsia="仿宋_GB2312"/>
                <w:b/>
                <w:sz w:val="24"/>
                <w:szCs w:val="24"/>
              </w:rPr>
              <w:t>安全疏散及救援设施管理</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9.占用、堵塞、封闭疏散通道、安全出口、消防车通道和消防车登高操作场地。</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10.户外广告牌的设置是否遮挡建筑的外窗，是否影响外部灭火救援行动；人员密集场所在门窗上是否设置广告牌等影响逃生和灭火救援障碍物的。</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11.消防车道、消防车登高操作场地上是否违规设置隔离桩、栅栏墙、绿化、临时建筑等，是否违规停放车辆，占用消防车道。</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8" w:hRule="atLeast"/>
          <w:jc w:val="center"/>
        </w:trPr>
        <w:tc>
          <w:tcPr>
            <w:tcW w:w="701" w:type="dxa"/>
            <w:vMerge w:val="restart"/>
            <w:noWrap w:val="0"/>
            <w:vAlign w:val="center"/>
          </w:tcPr>
          <w:p>
            <w:pPr>
              <w:adjustRightInd w:val="0"/>
              <w:snapToGrid w:val="0"/>
              <w:spacing w:line="260" w:lineRule="exact"/>
              <w:jc w:val="center"/>
              <w:rPr>
                <w:rFonts w:hint="default" w:eastAsia="仿宋_GB2312"/>
                <w:sz w:val="24"/>
                <w:szCs w:val="24"/>
              </w:rPr>
            </w:pPr>
            <w:r>
              <w:rPr>
                <w:rFonts w:hint="default" w:eastAsia="仿宋_GB2312"/>
                <w:b/>
                <w:sz w:val="24"/>
                <w:szCs w:val="24"/>
              </w:rPr>
              <w:t>易燃易爆危险品及火源管理</w:t>
            </w:r>
          </w:p>
        </w:tc>
        <w:tc>
          <w:tcPr>
            <w:tcW w:w="6789" w:type="dxa"/>
            <w:gridSpan w:val="4"/>
            <w:noWrap w:val="0"/>
            <w:vAlign w:val="center"/>
          </w:tcPr>
          <w:p>
            <w:pPr>
              <w:adjustRightInd w:val="0"/>
              <w:snapToGrid w:val="0"/>
              <w:spacing w:line="360" w:lineRule="exact"/>
              <w:jc w:val="left"/>
              <w:rPr>
                <w:rFonts w:hint="default" w:eastAsia="仿宋_GB2312"/>
                <w:sz w:val="24"/>
                <w:szCs w:val="24"/>
              </w:rPr>
            </w:pPr>
            <w:r>
              <w:rPr>
                <w:rFonts w:hint="default" w:eastAsia="仿宋_GB2312"/>
                <w:sz w:val="24"/>
                <w:szCs w:val="24"/>
              </w:rPr>
              <w:t>12.违规进行电焊、气焊等明火作业。</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5"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jc w:val="left"/>
              <w:rPr>
                <w:rFonts w:hint="default" w:eastAsia="仿宋_GB2312"/>
                <w:sz w:val="24"/>
                <w:szCs w:val="24"/>
              </w:rPr>
            </w:pPr>
            <w:r>
              <w:rPr>
                <w:rFonts w:hint="default" w:eastAsia="仿宋_GB2312"/>
                <w:sz w:val="24"/>
                <w:szCs w:val="24"/>
              </w:rPr>
              <w:t>13.违规使用瓶装液化石油气，燃气管线、燃气用具的敷设、安装等不符合相关安全技术标准。</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1" w:type="dxa"/>
            <w:vMerge w:val="restart"/>
            <w:noWrap w:val="0"/>
            <w:vAlign w:val="center"/>
          </w:tcPr>
          <w:p>
            <w:pPr>
              <w:adjustRightInd w:val="0"/>
              <w:snapToGrid w:val="0"/>
              <w:spacing w:line="260" w:lineRule="exact"/>
              <w:jc w:val="center"/>
              <w:rPr>
                <w:rFonts w:hint="default" w:eastAsia="仿宋_GB2312"/>
                <w:sz w:val="24"/>
                <w:szCs w:val="24"/>
              </w:rPr>
            </w:pPr>
            <w:r>
              <w:rPr>
                <w:rFonts w:hint="default" w:eastAsia="仿宋_GB2312"/>
                <w:b/>
                <w:sz w:val="24"/>
                <w:szCs w:val="24"/>
              </w:rPr>
              <w:t>自动消防设施管理</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14.室内消火栓、自动灭火系统、火灾自动报警系统、机械防排烟系统等被擅自拆除或损坏停用。</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701" w:type="dxa"/>
            <w:vMerge w:val="continue"/>
            <w:noWrap w:val="0"/>
            <w:vAlign w:val="center"/>
          </w:tcPr>
          <w:p>
            <w:pPr>
              <w:adjustRightInd w:val="0"/>
              <w:snapToGrid w:val="0"/>
              <w:spacing w:line="260" w:lineRule="exact"/>
              <w:jc w:val="center"/>
              <w:rPr>
                <w:rFonts w:hint="default" w:eastAsia="仿宋_GB2312"/>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15.消防水泵、防排烟风机等控制柜是否设置在“自动”档，消防设施主要阀门是否设置“常开”、“常闭”标识。</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电动自行车管理</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16.电动自行车或其蓄电池违规在建筑内停放或充电。</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17.电动自行车集中停放场所是否与建筑其他功能部位应设置实体墙分隔，分隔墙上确需开门时，是否为防火门。</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其他突出风险管理</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18.老旧高层建筑无物业服务企业、无管理单位，消防安全无人管理。</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19.老旧高层建筑公共区域电气线路绝缘老化、私拉乱接现象严重。</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20.老旧高层建筑住宅部分和非住宅部分防火分隔不到位，共用疏散楼梯。</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21.老旧高层建筑室内（外）消火栓无水或水压不足。</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22.超高层建筑、高层公共建筑电缆井内电气线路敷设不规范。</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9"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23.超高层建筑、高层公共建筑违规储存、经营、使用易燃易爆危险品。</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24.超高层建筑、高层公共建筑违规使用聚氨酯、聚苯乙烯等可燃材料装饰装修。</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eastAsia="方正仿宋_GBK"/>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25.超高层建筑、高层公共建筑避难层（间）被占用或擅自改变用途。</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eastAsia="方正仿宋_GBK"/>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26.超高层建筑、高层公共建筑分区供水设施未保持完好有效。</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eastAsia="方正仿宋_GBK"/>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27.是否存在改变使用功能、规模后导致建筑重要消防安全要求发生改变，产生系统性火灾隐患。</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重点岗位人员责任落实</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pacing w:val="-8"/>
                <w:sz w:val="24"/>
                <w:szCs w:val="24"/>
              </w:rPr>
              <w:t>28.同一建筑有两个以上业主、使用人的，未委托物业服务企业或明确统一管理人，对共有部分的消防安全实行统一管理；承包、租赁或委托经营的，未明确各方消防安全责任。</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pacing w:val="-8"/>
                <w:sz w:val="24"/>
                <w:szCs w:val="24"/>
              </w:rPr>
              <w:t>29.是否明确消防安全责任人、管理人（每幢高层住宅建筑是否明确一名消防安全楼长）并在建筑显著位置公示其姓名、职务和消防安全管理职责，作出安全履职承诺。</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□不涉及</w:t>
            </w:r>
          </w:p>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8"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pacing w:val="-8"/>
                <w:sz w:val="24"/>
                <w:szCs w:val="24"/>
              </w:rPr>
              <w:t>30.</w:t>
            </w:r>
            <w:r>
              <w:rPr>
                <w:rFonts w:hint="default" w:eastAsia="仿宋_GB2312"/>
                <w:sz w:val="24"/>
                <w:szCs w:val="24"/>
              </w:rPr>
              <w:t>设有消防控制室的，是否落实持证上岗和24小时值班制度。</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701" w:type="dxa"/>
            <w:vMerge w:val="continue"/>
            <w:noWrap w:val="0"/>
            <w:vAlign w:val="center"/>
          </w:tcPr>
          <w:p>
            <w:pPr>
              <w:adjustRightInd w:val="0"/>
              <w:snapToGrid w:val="0"/>
              <w:spacing w:line="260" w:lineRule="exact"/>
              <w:jc w:val="center"/>
              <w:rPr>
                <w:rFonts w:hint="default" w:eastAsia="仿宋_GB2312"/>
                <w:b/>
                <w:sz w:val="24"/>
                <w:szCs w:val="24"/>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31.是否建立微型消防站。微型消防站是否未开展针对性消防训练，是否具备“早发现、早处置”的扑救初起火灾能力</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jc w:val="center"/>
        </w:trPr>
        <w:tc>
          <w:tcPr>
            <w:tcW w:w="701" w:type="dxa"/>
            <w:vMerge w:val="restart"/>
            <w:noWrap w:val="0"/>
            <w:vAlign w:val="center"/>
          </w:tcPr>
          <w:p>
            <w:pPr>
              <w:adjustRightInd w:val="0"/>
              <w:snapToGrid w:val="0"/>
              <w:spacing w:line="260" w:lineRule="exact"/>
              <w:jc w:val="center"/>
              <w:rPr>
                <w:rFonts w:hint="default" w:eastAsia="仿宋_GB2312"/>
                <w:b/>
                <w:sz w:val="24"/>
                <w:szCs w:val="24"/>
              </w:rPr>
            </w:pPr>
            <w:r>
              <w:rPr>
                <w:rFonts w:hint="default" w:eastAsia="仿宋_GB2312"/>
                <w:b/>
                <w:sz w:val="24"/>
                <w:szCs w:val="24"/>
              </w:rPr>
              <w:t>日常管理机制</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32.违规设置群租房。</w:t>
            </w:r>
            <w:r>
              <w:rPr>
                <w:rFonts w:hint="default" w:eastAsia="仿宋_GB2312"/>
                <w:b/>
                <w:bCs/>
                <w:spacing w:val="-8"/>
                <w:sz w:val="24"/>
                <w:szCs w:val="24"/>
              </w:rPr>
              <w:t>★</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33.是否定期组织开展防火巡查、检查，排查发现的隐患，是否组织落实整改。</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701" w:type="dxa"/>
            <w:vMerge w:val="continue"/>
            <w:noWrap w:val="0"/>
            <w:vAlign w:val="center"/>
          </w:tcPr>
          <w:p>
            <w:pPr>
              <w:adjustRightInd w:val="0"/>
              <w:snapToGrid w:val="0"/>
              <w:spacing w:line="260" w:lineRule="exact"/>
              <w:jc w:val="center"/>
              <w:rPr>
                <w:rFonts w:hint="default" w:eastAsia="仿宋_GB2312"/>
                <w:b/>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34.设有自动消防设施的，是否建立定期维护保养制度，委托具备从业条件的第三方服务机构定期对消防设施进行检测和维护保养。</w:t>
            </w:r>
          </w:p>
        </w:tc>
        <w:tc>
          <w:tcPr>
            <w:tcW w:w="1571" w:type="dxa"/>
            <w:noWrap w:val="0"/>
            <w:vAlign w:val="center"/>
          </w:tcPr>
          <w:p>
            <w:pPr>
              <w:adjustRightInd w:val="0"/>
              <w:snapToGrid w:val="0"/>
              <w:spacing w:line="360" w:lineRule="exact"/>
              <w:rPr>
                <w:rFonts w:hint="default" w:eastAsia="仿宋_GB2312"/>
                <w:b/>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9" w:hRule="atLeast"/>
          <w:jc w:val="center"/>
        </w:trPr>
        <w:tc>
          <w:tcPr>
            <w:tcW w:w="701" w:type="dxa"/>
            <w:vMerge w:val="restart"/>
            <w:noWrap w:val="0"/>
            <w:vAlign w:val="center"/>
          </w:tcPr>
          <w:p>
            <w:pPr>
              <w:adjustRightInd w:val="0"/>
              <w:snapToGrid w:val="0"/>
              <w:spacing w:line="260" w:lineRule="exact"/>
              <w:jc w:val="center"/>
              <w:rPr>
                <w:rFonts w:hint="default" w:eastAsia="仿宋_GB2312"/>
                <w:b/>
              </w:rPr>
            </w:pPr>
            <w:r>
              <w:rPr>
                <w:rFonts w:hint="default" w:eastAsia="仿宋_GB2312"/>
                <w:b/>
                <w:sz w:val="24"/>
                <w:szCs w:val="24"/>
              </w:rPr>
              <w:t>宣传教育培训</w:t>
            </w: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35.是否落实单位消防安全培训制度，制订单位消防安全培训计划，开展岗前培训和消防安全教育。</w:t>
            </w:r>
          </w:p>
        </w:tc>
        <w:tc>
          <w:tcPr>
            <w:tcW w:w="1571" w:type="dxa"/>
            <w:noWrap w:val="0"/>
            <w:vAlign w:val="center"/>
          </w:tcPr>
          <w:p>
            <w:pPr>
              <w:adjustRightInd w:val="0"/>
              <w:snapToGrid w:val="0"/>
              <w:spacing w:line="360" w:lineRule="exact"/>
              <w:rPr>
                <w:rFonts w:hint="default" w:eastAsia="仿宋_GB2312"/>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9" w:hRule="atLeast"/>
          <w:jc w:val="center"/>
        </w:trPr>
        <w:tc>
          <w:tcPr>
            <w:tcW w:w="701" w:type="dxa"/>
            <w:vMerge w:val="continue"/>
            <w:noWrap w:val="0"/>
            <w:vAlign w:val="center"/>
          </w:tcPr>
          <w:p>
            <w:pPr>
              <w:adjustRightInd w:val="0"/>
              <w:snapToGrid w:val="0"/>
              <w:spacing w:line="260" w:lineRule="exact"/>
              <w:jc w:val="center"/>
              <w:rPr>
                <w:rFonts w:hint="default" w:eastAsia="仿宋_GB2312"/>
              </w:rPr>
            </w:pPr>
          </w:p>
        </w:tc>
        <w:tc>
          <w:tcPr>
            <w:tcW w:w="6789" w:type="dxa"/>
            <w:gridSpan w:val="4"/>
            <w:noWrap w:val="0"/>
            <w:vAlign w:val="center"/>
          </w:tcPr>
          <w:p>
            <w:pPr>
              <w:adjustRightInd w:val="0"/>
              <w:snapToGrid w:val="0"/>
              <w:spacing w:line="360" w:lineRule="exact"/>
              <w:rPr>
                <w:rFonts w:hint="default" w:eastAsia="仿宋_GB2312"/>
                <w:sz w:val="24"/>
                <w:szCs w:val="24"/>
              </w:rPr>
            </w:pPr>
            <w:r>
              <w:rPr>
                <w:rFonts w:hint="default" w:eastAsia="仿宋_GB2312"/>
                <w:sz w:val="24"/>
                <w:szCs w:val="24"/>
              </w:rPr>
              <w:t>36.是否落实消防培训预案演练制度，是否按照培训实操要求，开展灭火和应急疏散演练等工作。</w:t>
            </w:r>
          </w:p>
        </w:tc>
        <w:tc>
          <w:tcPr>
            <w:tcW w:w="1571" w:type="dxa"/>
            <w:noWrap w:val="0"/>
            <w:vAlign w:val="center"/>
          </w:tcPr>
          <w:p>
            <w:pPr>
              <w:adjustRightInd w:val="0"/>
              <w:snapToGrid w:val="0"/>
              <w:spacing w:line="360" w:lineRule="exact"/>
              <w:rPr>
                <w:rFonts w:hint="default" w:eastAsia="仿宋_GB2312"/>
                <w:sz w:val="24"/>
                <w:szCs w:val="24"/>
              </w:rPr>
            </w:pPr>
            <w:r>
              <w:rPr>
                <w:rFonts w:hint="default" w:eastAsia="仿宋_GB2312"/>
                <w:b/>
                <w:sz w:val="24"/>
                <w:szCs w:val="24"/>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2" w:hRule="atLeast"/>
          <w:jc w:val="center"/>
        </w:trPr>
        <w:tc>
          <w:tcPr>
            <w:tcW w:w="9061" w:type="dxa"/>
            <w:gridSpan w:val="6"/>
            <w:noWrap w:val="0"/>
            <w:vAlign w:val="top"/>
          </w:tcPr>
          <w:p>
            <w:pPr>
              <w:adjustRightInd w:val="0"/>
              <w:snapToGrid w:val="0"/>
              <w:spacing w:line="260" w:lineRule="exact"/>
              <w:jc w:val="left"/>
              <w:rPr>
                <w:rFonts w:hint="default" w:eastAsia="仿宋_GB2312"/>
                <w:b/>
                <w:sz w:val="24"/>
                <w:szCs w:val="24"/>
              </w:rPr>
            </w:pPr>
            <w:r>
              <w:rPr>
                <w:rFonts w:hint="default" w:eastAsia="仿宋_GB2312"/>
                <w:b/>
                <w:sz w:val="24"/>
                <w:szCs w:val="24"/>
              </w:rPr>
              <w:t>具体问题：</w:t>
            </w: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ascii="Times New Roman" w:hAnsi="Times New Roman" w:eastAsia="仿宋_GB2312"/>
              </w:rPr>
            </w:pPr>
          </w:p>
          <w:p>
            <w:pPr>
              <w:pStyle w:val="2"/>
              <w:rPr>
                <w:rFonts w:hint="eastAsia" w:ascii="Times New Roman" w:hAnsi="Times New Roman" w:eastAsia="仿宋_GB2312"/>
              </w:rPr>
            </w:pPr>
          </w:p>
          <w:p/>
          <w:p/>
          <w:p/>
          <w:p/>
          <w:p/>
          <w:p/>
          <w:p/>
          <w:p/>
          <w:p/>
          <w:p/>
          <w:p/>
          <w:p/>
          <w:p/>
          <w:p/>
          <w:p/>
          <w:p/>
          <w:p/>
          <w:p/>
          <w:p/>
          <w:p/>
          <w:p/>
          <w:p/>
          <w:p/>
          <w:p/>
          <w:p/>
          <w:p/>
          <w:p/>
          <w:p/>
          <w:p/>
          <w:p/>
          <w:p/>
          <w:p/>
          <w:p/>
          <w:p/>
          <w:p/>
          <w:p/>
          <w:p/>
          <w:p/>
          <w:p/>
          <w:p/>
          <w:p>
            <w:pPr>
              <w:pStyle w:val="2"/>
              <w:rPr>
                <w:rFonts w:ascii="Times New Roman" w:hAnsi="Times New Roman" w:eastAsia="仿宋_GB2312"/>
              </w:rPr>
            </w:pPr>
          </w:p>
          <w:p>
            <w:pPr>
              <w:pStyle w:val="2"/>
              <w:rPr>
                <w:rFonts w:ascii="Times New Roman" w:hAnsi="Times New Roman" w:eastAsia="仿宋_GB2312"/>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02" w:hRule="atLeast"/>
          <w:jc w:val="center"/>
        </w:trPr>
        <w:tc>
          <w:tcPr>
            <w:tcW w:w="9061" w:type="dxa"/>
            <w:gridSpan w:val="6"/>
            <w:noWrap w:val="0"/>
            <w:vAlign w:val="top"/>
          </w:tcPr>
          <w:p>
            <w:pPr>
              <w:adjustRightInd w:val="0"/>
              <w:snapToGrid w:val="0"/>
              <w:spacing w:line="360" w:lineRule="exact"/>
              <w:rPr>
                <w:rFonts w:hint="default" w:eastAsia="仿宋_GB2312"/>
                <w:sz w:val="24"/>
                <w:szCs w:val="24"/>
              </w:rPr>
            </w:pPr>
            <w:r>
              <w:rPr>
                <w:rFonts w:hint="default" w:eastAsia="仿宋_GB2312"/>
                <w:sz w:val="24"/>
                <w:szCs w:val="24"/>
              </w:rPr>
              <w:t>表格说明：</w:t>
            </w:r>
          </w:p>
          <w:p>
            <w:pPr>
              <w:adjustRightInd w:val="0"/>
              <w:snapToGrid w:val="0"/>
              <w:spacing w:line="360" w:lineRule="exact"/>
              <w:rPr>
                <w:rFonts w:hint="default" w:eastAsia="仿宋_GB2312"/>
                <w:sz w:val="24"/>
                <w:szCs w:val="24"/>
              </w:rPr>
            </w:pPr>
            <w:r>
              <w:rPr>
                <w:rFonts w:hint="default" w:eastAsia="仿宋_GB2312"/>
                <w:sz w:val="24"/>
                <w:szCs w:val="24"/>
              </w:rPr>
              <w:t>1.此表用于高层建筑使用或管理单位消防安全自我评估，以及行业主管部门或属地政府开展评估核对。</w:t>
            </w:r>
          </w:p>
          <w:p>
            <w:pPr>
              <w:adjustRightInd w:val="0"/>
              <w:snapToGrid w:val="0"/>
              <w:spacing w:line="360" w:lineRule="exact"/>
              <w:rPr>
                <w:rFonts w:hint="default" w:eastAsia="仿宋_GB2312"/>
                <w:sz w:val="24"/>
                <w:szCs w:val="24"/>
              </w:rPr>
            </w:pPr>
            <w:r>
              <w:rPr>
                <w:rFonts w:hint="default" w:eastAsia="仿宋_GB2312"/>
                <w:sz w:val="24"/>
                <w:szCs w:val="24"/>
              </w:rPr>
              <w:t>2.每栋高层建筑填写1张。其中涉及消防安全制度、微型消防站等公共设施和台账的，按照其建筑所在小区或片区统一管理使用单位实际填写。</w:t>
            </w:r>
          </w:p>
          <w:p>
            <w:pPr>
              <w:pStyle w:val="2"/>
              <w:rPr>
                <w:rFonts w:hint="eastAsia" w:eastAsia="方正小标宋简体"/>
              </w:rPr>
            </w:pPr>
            <w:r>
              <w:rPr>
                <w:rFonts w:ascii="Times New Roman" w:hAnsi="Times New Roman" w:eastAsia="仿宋_GB2312"/>
                <w:sz w:val="24"/>
              </w:rPr>
              <w:t>3.标注</w:t>
            </w:r>
            <w:r>
              <w:rPr>
                <w:rFonts w:ascii="Times New Roman" w:hAnsi="Times New Roman" w:eastAsia="仿宋_GB2312"/>
                <w:b/>
                <w:bCs/>
                <w:spacing w:val="-8"/>
                <w:sz w:val="24"/>
              </w:rPr>
              <w:t>★</w:t>
            </w:r>
            <w:r>
              <w:rPr>
                <w:rFonts w:ascii="Times New Roman" w:hAnsi="Times New Roman" w:eastAsia="仿宋_GB2312"/>
                <w:sz w:val="24"/>
              </w:rPr>
              <w:t>的为重点整治的重大火灾风险情形。</w:t>
            </w:r>
          </w:p>
        </w:tc>
      </w:tr>
    </w:tbl>
    <w:p>
      <w:pPr>
        <w:sectPr>
          <w:footerReference r:id="rId3" w:type="default"/>
          <w:footerReference r:id="rId4" w:type="even"/>
          <w:pgSz w:w="11907" w:h="16840"/>
          <w:pgMar w:top="2098" w:right="1474" w:bottom="1247" w:left="1588" w:header="851" w:footer="992" w:gutter="0"/>
          <w:cols w:space="720" w:num="1"/>
          <w:docGrid w:linePitch="312" w:charSpace="0"/>
        </w:sectPr>
      </w:pPr>
      <w: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6"/>
      </w:rPr>
    </w:pPr>
    <w:r>
      <w:rPr>
        <w:rStyle w:val="6"/>
      </w:rPr>
      <w:t xml:space="preserve">— </w:t>
    </w:r>
    <w:r>
      <w:rPr>
        <w:rStyle w:val="6"/>
        <w:rFonts w:hint="default"/>
      </w:rPr>
      <w:fldChar w:fldCharType="begin"/>
    </w:r>
    <w:r>
      <w:rPr>
        <w:rStyle w:val="6"/>
        <w:rFonts w:hint="default"/>
      </w:rPr>
      <w:instrText xml:space="preserve">PAGE  </w:instrText>
    </w:r>
    <w:r>
      <w:rPr>
        <w:rStyle w:val="6"/>
        <w:rFonts w:hint="default"/>
      </w:rPr>
      <w:fldChar w:fldCharType="separate"/>
    </w:r>
    <w:r>
      <w:rPr>
        <w:rStyle w:val="6"/>
        <w:rFonts w:hint="default"/>
      </w:rPr>
      <w:t>1</w:t>
    </w:r>
    <w:r>
      <w:rPr>
        <w:rStyle w:val="6"/>
        <w:rFonts w:hint="default"/>
      </w:rPr>
      <w:fldChar w:fldCharType="end"/>
    </w:r>
    <w:r>
      <w:rPr>
        <w:rStyle w:val="6"/>
      </w:rPr>
      <w:t xml:space="preserve">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6"/>
        <w:rFonts w:hint="default"/>
      </w:rPr>
    </w:pPr>
    <w:r>
      <w:rPr>
        <w:rStyle w:val="6"/>
        <w:rFonts w:hint="default"/>
      </w:rPr>
      <w:fldChar w:fldCharType="begin"/>
    </w:r>
    <w:r>
      <w:rPr>
        <w:rStyle w:val="6"/>
        <w:rFonts w:hint="default"/>
      </w:rPr>
      <w:instrText xml:space="preserve">PAGE  </w:instrText>
    </w:r>
    <w:r>
      <w:rPr>
        <w:rStyle w:val="6"/>
        <w:rFonts w:hint="default"/>
      </w:rPr>
      <w:fldChar w:fldCharType="end"/>
    </w:r>
  </w:p>
  <w:p>
    <w:pPr>
      <w:pStyle w:val="3"/>
      <w:ind w:right="360" w:firstLine="360"/>
      <w:rPr>
        <w:rFonts w:hint="default"/>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C87BAD"/>
    <w:rsid w:val="52C87B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hint="eastAsia" w:ascii="Times New Roman" w:hAnsi="Times New Roman"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spacing w:after="120"/>
    </w:pPr>
    <w:rPr>
      <w:rFonts w:hint="default" w:ascii="Calibri" w:hAnsi="Calibri"/>
      <w:szCs w:val="24"/>
    </w:rPr>
  </w:style>
  <w:style w:type="paragraph" w:styleId="3">
    <w:name w:val="footer"/>
    <w:basedOn w:val="1"/>
    <w:unhideWhenUsed/>
    <w:uiPriority w:val="0"/>
    <w:pPr>
      <w:tabs>
        <w:tab w:val="center" w:pos="4153"/>
        <w:tab w:val="right" w:pos="8306"/>
      </w:tabs>
      <w:snapToGrid w:val="0"/>
      <w:jc w:val="left"/>
    </w:pPr>
    <w:rPr>
      <w:sz w:val="18"/>
    </w:rPr>
  </w:style>
  <w:style w:type="character" w:styleId="6">
    <w:name w:val="page number"/>
    <w:basedOn w:val="5"/>
    <w:unhideWhenUsed/>
    <w:uiPriority w:val="0"/>
    <w:rPr>
      <w:rFonts w:hint="eastAsia" w:ascii="仿宋_GB2312" w:eastAsia="仿宋_GB2312"/>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翔安区新店镇人民政府</Company>
  <Pages>1</Pages>
  <Words>0</Words>
  <Characters>0</Characters>
  <Lines>0</Lines>
  <Paragraphs>0</Paragraphs>
  <TotalTime>1</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2022-09-21T09:11:00Z</dcterms:created>
  <dc:creator>Administrator</dc:creator>
  <cp:lastModifiedBy>Administrator</cp:lastModifiedBy>
  <dcterms:modified xsi:type="dcterms:W3CDTF">2022-09-21T09:12:35Z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