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eastAsia="黑体"/>
          <w:sz w:val="32"/>
          <w:szCs w:val="32"/>
        </w:rPr>
      </w:pPr>
      <w:r>
        <w:rPr>
          <w:rFonts w:hint="default" w:hAnsi="黑体" w:eastAsia="黑体"/>
          <w:sz w:val="32"/>
          <w:szCs w:val="32"/>
        </w:rPr>
        <w:t>附件</w:t>
      </w:r>
      <w:r>
        <w:rPr>
          <w:rFonts w:hint="default" w:eastAsia="黑体"/>
          <w:sz w:val="32"/>
          <w:szCs w:val="32"/>
        </w:rPr>
        <w:t>2</w:t>
      </w:r>
    </w:p>
    <w:p>
      <w:pPr>
        <w:spacing w:line="600" w:lineRule="exact"/>
        <w:jc w:val="center"/>
        <w:rPr>
          <w:rFonts w:hint="default" w:eastAsia="仿宋_GB2312"/>
          <w:sz w:val="32"/>
          <w:szCs w:val="32"/>
        </w:rPr>
      </w:pPr>
    </w:p>
    <w:p>
      <w:pPr>
        <w:spacing w:line="640" w:lineRule="exact"/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r>
        <w:rPr>
          <w:rFonts w:ascii="方正小标宋简体" w:eastAsia="方正小标宋简体"/>
          <w:sz w:val="36"/>
          <w:szCs w:val="36"/>
        </w:rPr>
        <w:t>“三合一”场所消防安全整治要求</w:t>
      </w:r>
    </w:p>
    <w:bookmarkEnd w:id="0"/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“三合一”场所是指住宿与生产、储存、经营等一种或几种用途混合设置在同一连通空间内的场所。由于住宿与其他场所之间连通，没有防火防烟隔断，一旦发生火灾，住宿人员立即遭受烟火侵袭，易于造成人员伤亡。整治要求如下：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ascii="黑体" w:hAnsi="黑体" w:eastAsia="黑体"/>
          <w:sz w:val="32"/>
          <w:szCs w:val="32"/>
        </w:rPr>
        <w:t>第一类</w:t>
      </w:r>
      <w:r>
        <w:rPr>
          <w:rFonts w:eastAsia="仿宋_GB2312"/>
          <w:sz w:val="32"/>
          <w:szCs w:val="32"/>
        </w:rPr>
        <w:t xml:space="preserve">  </w:t>
      </w:r>
      <w:r>
        <w:rPr>
          <w:rFonts w:hint="default" w:eastAsia="仿宋_GB2312"/>
          <w:sz w:val="32"/>
          <w:szCs w:val="32"/>
        </w:rPr>
        <w:t>以下建筑严禁设置“三合一”，必须迁出住宿人员：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（一）甲、乙类火灾危险性的生产、储存、经营的建筑；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（二）建筑耐火等级为三级及三级以下的建筑；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（三）厂房和仓库；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（四）建筑面积大于2500平方米的商场市场等公共建筑；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（五）地下建筑内。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ascii="黑体" w:hAnsi="黑体" w:eastAsia="黑体"/>
          <w:sz w:val="32"/>
          <w:szCs w:val="32"/>
        </w:rPr>
        <w:t xml:space="preserve">第二类 </w:t>
      </w:r>
      <w:r>
        <w:rPr>
          <w:rFonts w:ascii="黑体" w:hAnsi="黑体" w:eastAsia="黑体"/>
          <w:sz w:val="32"/>
          <w:szCs w:val="32"/>
        </w:rPr>
        <w:t xml:space="preserve"> </w:t>
      </w:r>
      <w:r>
        <w:rPr>
          <w:rFonts w:hint="default" w:eastAsia="仿宋_GB2312"/>
          <w:sz w:val="32"/>
          <w:szCs w:val="32"/>
        </w:rPr>
        <w:t>除迁出住宿人员外，以下“三合一”建筑应采用实体墙（楼板）硬隔离进行防火分隔，实现住用分离。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（一）在生产、储存场所、使用燃气的餐饮场所内设置人员住宿场室；</w:t>
      </w:r>
    </w:p>
    <w:p>
      <w:pPr>
        <w:spacing w:line="600" w:lineRule="exact"/>
        <w:ind w:firstLine="640" w:firstLineChars="200"/>
        <w:rPr>
          <w:rFonts w:hint="default" w:eastAsia="仿宋_GB2312"/>
          <w:spacing w:val="-6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（二）</w:t>
      </w:r>
      <w:r>
        <w:rPr>
          <w:rFonts w:hint="default" w:eastAsia="仿宋_GB2312"/>
          <w:spacing w:val="-6"/>
          <w:sz w:val="32"/>
          <w:szCs w:val="32"/>
        </w:rPr>
        <w:t>出租房屋与生产、储存、经营场所在同一连通空间内；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（三）其它不宜使用防火门进行分隔的场所。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ascii="黑体" w:hAnsi="黑体" w:eastAsia="黑体"/>
          <w:sz w:val="32"/>
          <w:szCs w:val="32"/>
        </w:rPr>
        <w:t xml:space="preserve">第三类 </w:t>
      </w:r>
      <w:r>
        <w:rPr>
          <w:rFonts w:ascii="黑体" w:hAnsi="黑体" w:eastAsia="黑体"/>
          <w:sz w:val="32"/>
          <w:szCs w:val="32"/>
        </w:rPr>
        <w:t xml:space="preserve"> </w:t>
      </w:r>
      <w:r>
        <w:rPr>
          <w:rFonts w:hint="default" w:eastAsia="仿宋_GB2312"/>
          <w:sz w:val="32"/>
          <w:szCs w:val="32"/>
        </w:rPr>
        <w:t>除迁出住宿人员或实体墙（楼板）硬隔离进行防火分隔外，以下“三合一”建筑应开辟第二逃生通道（在安装防火门和感烟探测器并实现联动和报警功能，开设安全出口或逃生窗、辅助疏散措施）、应设置自动喷水灭火系统或自动喷水局部应用系统：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居住人数在20人以下的商住楼、临街商业用房或自建民房、出租房的店面等经营性场所；</w:t>
      </w:r>
    </w:p>
    <w:p>
      <w:pPr>
        <w:spacing w:line="600" w:lineRule="exact"/>
        <w:ind w:firstLine="640" w:firstLineChars="200"/>
        <w:rPr>
          <w:rFonts w:hint="default" w:eastAsia="仿宋_GB2312"/>
          <w:sz w:val="32"/>
          <w:szCs w:val="32"/>
        </w:rPr>
      </w:pPr>
      <w:r>
        <w:rPr>
          <w:rFonts w:hint="default" w:ascii="黑体" w:hAnsi="黑体" w:eastAsia="黑体"/>
          <w:sz w:val="32"/>
          <w:szCs w:val="32"/>
        </w:rPr>
        <w:t xml:space="preserve">第四类 </w:t>
      </w:r>
      <w:r>
        <w:rPr>
          <w:rFonts w:ascii="黑体" w:hAnsi="黑体" w:eastAsia="黑体"/>
          <w:sz w:val="32"/>
          <w:szCs w:val="32"/>
        </w:rPr>
        <w:t xml:space="preserve"> </w:t>
      </w:r>
      <w:r>
        <w:rPr>
          <w:rFonts w:hint="default" w:eastAsia="仿宋_GB2312"/>
          <w:sz w:val="32"/>
          <w:szCs w:val="32"/>
        </w:rPr>
        <w:t>有关单位可结合辖区实际，参照有关标准研究制定符合“不亡人”的目标的整改方案。</w:t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C805FF"/>
    <w:rsid w:val="7CC8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2023-03-29T08:14:00Z</dcterms:created>
  <dc:creator>YZDC</dc:creator>
  <cp:lastModifiedBy>YZDC</cp:lastModifiedBy>
  <dcterms:modified xsi:type="dcterms:W3CDTF">2023-03-29T08:16:14Z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B2C2A6664DD44D14BAA9151B9EC1F6DF</vt:lpwstr>
  </property>
</Properties>
</file>