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autoSpaceDE w:val="0"/>
        <w:autoSpaceDN w:val="0"/>
        <w:adjustRightInd w:val="0"/>
        <w:snapToGrid w:val="0"/>
        <w:spacing w:line="600" w:lineRule="exact"/>
        <w:jc w:val="center"/>
        <w:textAlignment w:val="baseline"/>
        <w:rPr>
          <w:rFonts w:ascii="Times New Roman" w:eastAsia="方正小标宋简体"/>
          <w:sz w:val="36"/>
          <w:szCs w:val="36"/>
        </w:rPr>
      </w:pPr>
      <w:r>
        <w:rPr>
          <w:rFonts w:ascii="Times New Roman" w:eastAsia="方正小标宋简体"/>
          <w:sz w:val="36"/>
          <w:szCs w:val="36"/>
        </w:rPr>
        <w:t>2022年新店街道生态环保主要问题责任分工表</w:t>
      </w:r>
    </w:p>
    <w:p/>
    <w:p/>
    <w:tbl>
      <w:tblPr>
        <w:tblStyle w:val="2"/>
        <w:tblW w:w="13685" w:type="dxa"/>
        <w:tblInd w:w="103" w:type="dxa"/>
        <w:tblLayout w:type="fixed"/>
        <w:tblCellMar>
          <w:top w:w="0" w:type="dxa"/>
          <w:left w:w="108" w:type="dxa"/>
          <w:bottom w:w="0" w:type="dxa"/>
          <w:right w:w="108" w:type="dxa"/>
        </w:tblCellMar>
      </w:tblPr>
      <w:tblGrid>
        <w:gridCol w:w="680"/>
        <w:gridCol w:w="4725"/>
        <w:gridCol w:w="7020"/>
        <w:gridCol w:w="1260"/>
      </w:tblGrid>
      <w:tr>
        <w:tblPrEx>
          <w:tblCellMar>
            <w:top w:w="0" w:type="dxa"/>
            <w:left w:w="108" w:type="dxa"/>
            <w:bottom w:w="0" w:type="dxa"/>
            <w:right w:w="108" w:type="dxa"/>
          </w:tblCellMar>
        </w:tblPrEx>
        <w:trPr>
          <w:trHeight w:val="373"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b/>
                <w:bCs/>
                <w:kern w:val="0"/>
                <w:szCs w:val="21"/>
              </w:rPr>
            </w:pPr>
            <w:r>
              <w:rPr>
                <w:rFonts w:hint="default" w:eastAsia="仿宋_GB2312"/>
                <w:b/>
                <w:bCs/>
                <w:kern w:val="0"/>
                <w:szCs w:val="21"/>
              </w:rPr>
              <w:t>序号</w:t>
            </w:r>
          </w:p>
        </w:tc>
        <w:tc>
          <w:tcPr>
            <w:tcW w:w="472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b/>
                <w:bCs/>
                <w:kern w:val="0"/>
                <w:szCs w:val="21"/>
              </w:rPr>
            </w:pPr>
            <w:r>
              <w:rPr>
                <w:rFonts w:hint="default" w:eastAsia="仿宋_GB2312"/>
                <w:b/>
                <w:bCs/>
                <w:kern w:val="0"/>
                <w:szCs w:val="21"/>
              </w:rPr>
              <w:t>整改问题</w:t>
            </w:r>
          </w:p>
        </w:tc>
        <w:tc>
          <w:tcPr>
            <w:tcW w:w="7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b/>
                <w:bCs/>
                <w:kern w:val="0"/>
                <w:szCs w:val="21"/>
              </w:rPr>
            </w:pPr>
            <w:r>
              <w:rPr>
                <w:rFonts w:hint="default" w:eastAsia="仿宋_GB2312"/>
                <w:b/>
                <w:bCs/>
                <w:kern w:val="0"/>
                <w:szCs w:val="21"/>
              </w:rPr>
              <w:t>整改措施要求</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default" w:eastAsia="仿宋_GB2312"/>
                <w:b/>
                <w:bCs/>
                <w:kern w:val="0"/>
                <w:szCs w:val="21"/>
              </w:rPr>
            </w:pPr>
            <w:r>
              <w:rPr>
                <w:rFonts w:hint="default" w:eastAsia="仿宋_GB2312"/>
                <w:b/>
                <w:bCs/>
                <w:kern w:val="0"/>
                <w:szCs w:val="21"/>
              </w:rPr>
              <w:t>责任部门</w:t>
            </w:r>
          </w:p>
        </w:tc>
      </w:tr>
      <w:tr>
        <w:tblPrEx>
          <w:tblCellMar>
            <w:top w:w="0" w:type="dxa"/>
            <w:left w:w="108" w:type="dxa"/>
            <w:bottom w:w="0" w:type="dxa"/>
            <w:right w:w="108" w:type="dxa"/>
          </w:tblCellMar>
        </w:tblPrEx>
        <w:trPr>
          <w:trHeight w:val="4740" w:hRule="atLeast"/>
        </w:trPr>
        <w:tc>
          <w:tcPr>
            <w:tcW w:w="6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1</w:t>
            </w:r>
          </w:p>
        </w:tc>
        <w:tc>
          <w:tcPr>
            <w:tcW w:w="4725" w:type="dxa"/>
            <w:tcBorders>
              <w:top w:val="nil"/>
              <w:left w:val="nil"/>
              <w:bottom w:val="single" w:color="auto" w:sz="4" w:space="0"/>
              <w:right w:val="single" w:color="auto" w:sz="4" w:space="0"/>
            </w:tcBorders>
            <w:shd w:val="clear" w:color="auto" w:fill="auto"/>
            <w:noWrap w:val="0"/>
            <w:vAlign w:val="top"/>
          </w:tcPr>
          <w:p>
            <w:pPr>
              <w:widowControl/>
              <w:spacing w:line="300" w:lineRule="exact"/>
              <w:rPr>
                <w:rFonts w:hint="eastAsia" w:eastAsia="仿宋_GB2312"/>
                <w:kern w:val="0"/>
                <w:szCs w:val="21"/>
                <w:lang w:eastAsia="zh-CN"/>
              </w:rPr>
            </w:pPr>
            <w:r>
              <w:rPr>
                <w:rFonts w:hint="default" w:eastAsia="仿宋_GB2312"/>
                <w:b/>
                <w:bCs/>
                <w:kern w:val="0"/>
                <w:szCs w:val="21"/>
              </w:rPr>
              <w:t>问题一（一）：</w:t>
            </w:r>
            <w:r>
              <w:rPr>
                <w:rFonts w:hint="default" w:eastAsia="仿宋_GB2312"/>
                <w:kern w:val="0"/>
                <w:szCs w:val="21"/>
              </w:rPr>
              <w:t>思想认识不够到位。</w:t>
            </w:r>
          </w:p>
          <w:p>
            <w:pPr>
              <w:widowControl/>
              <w:spacing w:line="30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省委办公厅、省政府办公厅</w:t>
            </w:r>
          </w:p>
          <w:p>
            <w:pPr>
              <w:widowControl/>
              <w:spacing w:line="30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市委办公厅、市政府办公厅</w:t>
            </w:r>
          </w:p>
          <w:p>
            <w:pPr>
              <w:widowControl/>
              <w:spacing w:line="30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立行立改、长期坚持</w:t>
            </w:r>
          </w:p>
          <w:p>
            <w:pPr>
              <w:widowControl/>
              <w:spacing w:line="30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学懂弄通做实</w:t>
            </w:r>
            <w:r>
              <w:rPr>
                <w:rFonts w:hint="eastAsia" w:eastAsia="仿宋_GB2312"/>
                <w:kern w:val="0"/>
                <w:szCs w:val="21"/>
                <w:lang w:val="en-US" w:eastAsia="zh-CN"/>
              </w:rPr>
              <w:t>习近平</w:t>
            </w:r>
            <w:r>
              <w:rPr>
                <w:rFonts w:hint="default" w:eastAsia="仿宋_GB2312"/>
                <w:kern w:val="0"/>
                <w:szCs w:val="21"/>
              </w:rPr>
              <w:t>生态文明思想，思想根源问题全面查找到位，“绿水青山就是金山银山”理念深入人心，抓生态环境保护的政治自觉、思想自觉、行动自觉切实增强。</w:t>
            </w:r>
          </w:p>
        </w:tc>
        <w:tc>
          <w:tcPr>
            <w:tcW w:w="7020" w:type="dxa"/>
            <w:tcBorders>
              <w:top w:val="nil"/>
              <w:left w:val="nil"/>
              <w:bottom w:val="single" w:color="auto" w:sz="4" w:space="0"/>
              <w:right w:val="single" w:color="auto" w:sz="4" w:space="0"/>
            </w:tcBorders>
            <w:shd w:val="clear" w:color="auto" w:fill="auto"/>
            <w:noWrap w:val="0"/>
            <w:vAlign w:val="center"/>
          </w:tcPr>
          <w:p>
            <w:pPr>
              <w:widowControl/>
              <w:spacing w:line="260" w:lineRule="exact"/>
              <w:ind w:firstLine="420" w:firstLineChars="200"/>
              <w:rPr>
                <w:rFonts w:eastAsia="仿宋_GB2312"/>
                <w:kern w:val="0"/>
                <w:szCs w:val="21"/>
              </w:rPr>
            </w:pPr>
            <w:r>
              <w:rPr>
                <w:rFonts w:hint="default" w:eastAsia="仿宋_GB2312"/>
                <w:kern w:val="0"/>
                <w:szCs w:val="21"/>
              </w:rPr>
              <w:t>1.系统深入学习领会习近平生态文明思想。研究制定《福建省党政领导干部学习习近平生态文明思想专题培训班实施方案》，突出学习的系统性完整性，重点围绕“生态兴则文明兴”的深邃历史观等八个专题，采取培训动员、专题授课、集中学习、自学研讨、考核交流和网络学习等方式，开展为期三个月的学习培训活动，推动各级各部门党政领导干部进一步学懂弄通做实</w:t>
            </w:r>
            <w:r>
              <w:rPr>
                <w:rFonts w:hint="eastAsia" w:eastAsia="仿宋_GB2312"/>
                <w:kern w:val="0"/>
                <w:szCs w:val="21"/>
                <w:lang w:val="en-US" w:eastAsia="zh-CN"/>
              </w:rPr>
              <w:t>习近平</w:t>
            </w:r>
            <w:bookmarkStart w:id="0" w:name="_GoBack"/>
            <w:bookmarkEnd w:id="0"/>
            <w:r>
              <w:rPr>
                <w:rFonts w:hint="default" w:eastAsia="仿宋_GB2312"/>
                <w:kern w:val="0"/>
                <w:szCs w:val="21"/>
              </w:rPr>
              <w:t>生态文明思想，真正以之武装头脑、指导实践、推动工作。(党政办)</w:t>
            </w:r>
          </w:p>
          <w:p>
            <w:pPr>
              <w:widowControl/>
              <w:spacing w:line="260" w:lineRule="exact"/>
              <w:ind w:firstLine="420" w:firstLineChars="200"/>
              <w:rPr>
                <w:rFonts w:eastAsia="仿宋_GB2312"/>
                <w:kern w:val="0"/>
                <w:szCs w:val="21"/>
              </w:rPr>
            </w:pPr>
            <w:r>
              <w:rPr>
                <w:rFonts w:hint="default" w:eastAsia="仿宋_GB2312"/>
                <w:kern w:val="0"/>
                <w:szCs w:val="21"/>
              </w:rPr>
              <w:t>2.坚持新发展理念，坚持生态优先、绿色发展，坚持人与自然和谐共生。统筹推进经济社会发展和生态环境保护，加快调结构、优布局、强产业、全链条，形成绿色发展方式，实现绿色转型。（经济服务办）</w:t>
            </w:r>
          </w:p>
          <w:p>
            <w:pPr>
              <w:widowControl/>
              <w:spacing w:line="260" w:lineRule="exact"/>
              <w:ind w:firstLine="420" w:firstLineChars="200"/>
              <w:rPr>
                <w:rFonts w:eastAsia="仿宋_GB2312"/>
                <w:kern w:val="0"/>
                <w:szCs w:val="21"/>
              </w:rPr>
            </w:pPr>
            <w:r>
              <w:rPr>
                <w:rFonts w:hint="default" w:eastAsia="仿宋_GB2312"/>
                <w:kern w:val="0"/>
                <w:szCs w:val="21"/>
              </w:rPr>
              <w:t>3.加强党对生态环境保护工作的领导，深入落实“党政同责、一岗双责”，构建覆盖省市县乡四级的全链条领导责任体系，成立市县生态环境保护委员会，由党委和政府主要负责人任主任，由政府分管领导担任办公室主任。(党政办)</w:t>
            </w:r>
          </w:p>
          <w:p>
            <w:pPr>
              <w:widowControl/>
              <w:spacing w:line="260" w:lineRule="exact"/>
              <w:ind w:firstLine="420" w:firstLineChars="200"/>
              <w:rPr>
                <w:rFonts w:eastAsia="仿宋_GB2312"/>
                <w:kern w:val="0"/>
                <w:szCs w:val="21"/>
              </w:rPr>
            </w:pPr>
            <w:r>
              <w:rPr>
                <w:rFonts w:hint="default" w:eastAsia="仿宋_GB2312"/>
                <w:kern w:val="0"/>
                <w:szCs w:val="21"/>
              </w:rPr>
              <w:t>4.坚决打好污染防治攻坚战。围绕“1+7+N”污染防治攻坚战总体部署，建立健全工作推进机制，梳理细化时间表、路线图，不折不扣地抓好落实、抓出成效，坚决守住“生态环境质量只能更好、不能变坏”责任底线。（社区建设办、综合执法办）</w:t>
            </w:r>
          </w:p>
          <w:p>
            <w:pPr>
              <w:widowControl/>
              <w:spacing w:line="260" w:lineRule="exact"/>
              <w:ind w:firstLine="420" w:firstLineChars="200"/>
              <w:rPr>
                <w:rFonts w:hint="default" w:eastAsia="仿宋_GB2312"/>
                <w:kern w:val="0"/>
                <w:szCs w:val="21"/>
              </w:rPr>
            </w:pPr>
            <w:r>
              <w:rPr>
                <w:rFonts w:hint="default" w:eastAsia="仿宋_GB2312"/>
                <w:kern w:val="0"/>
                <w:szCs w:val="21"/>
              </w:rPr>
              <w:t>5.在更高起点上推进国家生态文明试验区建设。以督察整改为契机，以深化国土空间科学开发先导区、生态产品价值实现先行区、环境治理体系改革示范区、绿色发展评价导向实践区建设为重点，突出改革创新、聚焦堵点难点，着力在体制机制上下功夫，不断强化改革系统集成、制度体系建设和全面复制推广，为全国生态文明体制改革再创造一批可复制、可推广的典型经验。（综合治理办）</w:t>
            </w:r>
          </w:p>
        </w:tc>
        <w:tc>
          <w:tcPr>
            <w:tcW w:w="12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党政办</w:t>
            </w:r>
          </w:p>
          <w:p>
            <w:pPr>
              <w:widowControl/>
              <w:spacing w:line="300" w:lineRule="exact"/>
              <w:jc w:val="center"/>
              <w:rPr>
                <w:rFonts w:eastAsia="仿宋_GB2312"/>
                <w:spacing w:val="-8"/>
                <w:kern w:val="0"/>
                <w:szCs w:val="21"/>
              </w:rPr>
            </w:pPr>
            <w:r>
              <w:rPr>
                <w:rFonts w:hint="default" w:eastAsia="仿宋_GB2312"/>
                <w:spacing w:val="-8"/>
                <w:kern w:val="0"/>
                <w:szCs w:val="21"/>
              </w:rPr>
              <w:t>综合执法办综合治理办经济服务办社区建设办</w:t>
            </w:r>
          </w:p>
        </w:tc>
      </w:tr>
      <w:tr>
        <w:tblPrEx>
          <w:tblCellMar>
            <w:top w:w="0" w:type="dxa"/>
            <w:left w:w="108" w:type="dxa"/>
            <w:bottom w:w="0" w:type="dxa"/>
            <w:right w:w="108" w:type="dxa"/>
          </w:tblCellMar>
        </w:tblPrEx>
        <w:trPr>
          <w:trHeight w:val="408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2</w:t>
            </w:r>
          </w:p>
        </w:tc>
        <w:tc>
          <w:tcPr>
            <w:tcW w:w="4725" w:type="dxa"/>
            <w:tcBorders>
              <w:top w:val="single" w:color="auto" w:sz="4" w:space="0"/>
              <w:left w:val="nil"/>
              <w:bottom w:val="single" w:color="auto" w:sz="4" w:space="0"/>
              <w:right w:val="single" w:color="auto" w:sz="4" w:space="0"/>
            </w:tcBorders>
            <w:shd w:val="clear" w:color="auto" w:fill="auto"/>
            <w:noWrap w:val="0"/>
            <w:vAlign w:val="top"/>
          </w:tcPr>
          <w:p>
            <w:pPr>
              <w:widowControl/>
              <w:spacing w:line="300" w:lineRule="exact"/>
              <w:rPr>
                <w:rFonts w:eastAsia="仿宋_GB2312"/>
                <w:kern w:val="0"/>
                <w:szCs w:val="21"/>
              </w:rPr>
            </w:pPr>
            <w:r>
              <w:rPr>
                <w:rFonts w:hint="default" w:eastAsia="仿宋_GB2312"/>
                <w:b/>
                <w:bCs/>
                <w:kern w:val="0"/>
                <w:szCs w:val="21"/>
              </w:rPr>
              <w:t>问题一（二）：</w:t>
            </w:r>
            <w:r>
              <w:rPr>
                <w:rFonts w:hint="default" w:eastAsia="仿宋_GB2312"/>
                <w:kern w:val="0"/>
                <w:szCs w:val="21"/>
              </w:rPr>
              <w:t>有的地方生态环境法治观念比较淡薄。</w:t>
            </w:r>
          </w:p>
          <w:p>
            <w:pPr>
              <w:widowControl/>
              <w:spacing w:line="30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省委办公厅、省政府办公厅</w:t>
            </w:r>
          </w:p>
          <w:p>
            <w:pPr>
              <w:widowControl/>
              <w:spacing w:line="30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市委办公厅、市政府办公厅</w:t>
            </w:r>
          </w:p>
          <w:p>
            <w:pPr>
              <w:widowControl/>
              <w:spacing w:line="30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立行立改、长期坚持</w:t>
            </w:r>
          </w:p>
          <w:p>
            <w:pPr>
              <w:widowControl/>
              <w:spacing w:line="30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用最严格制度最严密法治保护生态环境，推动全社会生态环境法治观念明显提升，全省毁林占地、乱采滥挖、侵占河道、非法用海等问题得到坚决遏制。</w:t>
            </w:r>
          </w:p>
        </w:tc>
        <w:tc>
          <w:tcPr>
            <w:tcW w:w="7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ind w:firstLine="420" w:firstLineChars="200"/>
              <w:jc w:val="left"/>
              <w:rPr>
                <w:rFonts w:eastAsia="仿宋_GB2312"/>
                <w:kern w:val="0"/>
                <w:szCs w:val="21"/>
              </w:rPr>
            </w:pPr>
            <w:r>
              <w:rPr>
                <w:rFonts w:hint="default" w:eastAsia="仿宋_GB2312"/>
                <w:kern w:val="0"/>
                <w:szCs w:val="21"/>
              </w:rPr>
              <w:t>1.各设区市、平潭综合实验区充分利用法治课堂、政府门户网站、“6·5世界环境日”以及“两微”公众号等宣传平台，加强生态环境领域相关法律法规学习宣传，增强干部群众法治意识和绿色发展观念。（党政办、社区建设办（环保）、经济服务办）</w:t>
            </w:r>
          </w:p>
          <w:p>
            <w:pPr>
              <w:widowControl/>
              <w:spacing w:line="240" w:lineRule="exact"/>
              <w:ind w:firstLine="420" w:firstLineChars="200"/>
              <w:jc w:val="left"/>
              <w:rPr>
                <w:rFonts w:eastAsia="仿宋_GB2312"/>
                <w:kern w:val="0"/>
                <w:szCs w:val="21"/>
              </w:rPr>
            </w:pPr>
            <w:r>
              <w:rPr>
                <w:rFonts w:hint="default" w:eastAsia="仿宋_GB2312"/>
                <w:kern w:val="0"/>
                <w:szCs w:val="21"/>
              </w:rPr>
              <w:t>2.加强部门执法联动，完善生态环境保护行政执法和刑事司法衔接机制，加大对违法犯罪行为的惩处力度，持续保持打击生态环境违法行为的高压态势。（综合执法办）</w:t>
            </w:r>
          </w:p>
          <w:p>
            <w:pPr>
              <w:widowControl/>
              <w:spacing w:line="240" w:lineRule="exact"/>
              <w:ind w:firstLine="420" w:firstLineChars="200"/>
              <w:jc w:val="left"/>
              <w:rPr>
                <w:rFonts w:eastAsia="仿宋_GB2312"/>
                <w:kern w:val="0"/>
                <w:szCs w:val="21"/>
              </w:rPr>
            </w:pPr>
            <w:r>
              <w:rPr>
                <w:rFonts w:hint="default" w:eastAsia="仿宋_GB2312"/>
                <w:kern w:val="0"/>
                <w:szCs w:val="21"/>
              </w:rPr>
              <w:t>3.省林业局会同公安厅森林公安局加强保护执法，严厉打击、依法查处盗伐滥伐林木、非法占用农用地（林地）等破坏森林资源违法犯罪行为。【社区建设办（林业）】</w:t>
            </w:r>
          </w:p>
          <w:p>
            <w:pPr>
              <w:widowControl/>
              <w:spacing w:line="240" w:lineRule="exact"/>
              <w:ind w:firstLine="420" w:firstLineChars="200"/>
              <w:jc w:val="left"/>
              <w:rPr>
                <w:rFonts w:eastAsia="仿宋_GB2312"/>
                <w:kern w:val="0"/>
                <w:szCs w:val="21"/>
              </w:rPr>
            </w:pPr>
            <w:r>
              <w:rPr>
                <w:rFonts w:hint="default" w:eastAsia="仿宋_GB2312"/>
                <w:kern w:val="0"/>
                <w:szCs w:val="21"/>
              </w:rPr>
              <w:t>4.省自然资源厅深化“天上看、地上查、网上管”监管机制，加强用地、用矿、用海日常监管，2020年底前建立问题台账，督促市、县（区）依法依规对发现的疑似用地用矿用海违法图斑开展核查、查处、整改。（国土所）</w:t>
            </w:r>
          </w:p>
          <w:p>
            <w:pPr>
              <w:widowControl/>
              <w:spacing w:line="240" w:lineRule="exact"/>
              <w:ind w:firstLine="420" w:firstLineChars="200"/>
              <w:jc w:val="left"/>
              <w:rPr>
                <w:rFonts w:hint="default" w:eastAsia="仿宋_GB2312"/>
                <w:kern w:val="0"/>
                <w:szCs w:val="21"/>
              </w:rPr>
            </w:pPr>
            <w:r>
              <w:rPr>
                <w:rFonts w:hint="default" w:eastAsia="仿宋_GB2312"/>
                <w:kern w:val="0"/>
                <w:szCs w:val="21"/>
              </w:rPr>
              <w:t>5.省水利厅组织全省各地开展河湖“清四乱”专项行动，进一步完善河湖长制管理模式，严厉打击侵占河道、破坏岸线、乱占乱采、乱建乱堆行为。【社区建设办（河长）】</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社区建设办（环保、市政、河长）</w:t>
            </w:r>
          </w:p>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经济服务办</w:t>
            </w:r>
          </w:p>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综合执法办</w:t>
            </w:r>
          </w:p>
          <w:p>
            <w:pPr>
              <w:widowControl/>
              <w:spacing w:line="300" w:lineRule="exact"/>
              <w:jc w:val="center"/>
              <w:rPr>
                <w:rFonts w:hint="default" w:eastAsia="仿宋_GB2312"/>
                <w:spacing w:val="-8"/>
                <w:kern w:val="0"/>
                <w:szCs w:val="21"/>
              </w:rPr>
            </w:pPr>
            <w:r>
              <w:rPr>
                <w:rFonts w:hint="default" w:eastAsia="仿宋_GB2312"/>
                <w:spacing w:val="-8"/>
                <w:kern w:val="0"/>
                <w:szCs w:val="21"/>
              </w:rPr>
              <w:t>国土所</w:t>
            </w:r>
          </w:p>
        </w:tc>
      </w:tr>
      <w:tr>
        <w:tblPrEx>
          <w:tblCellMar>
            <w:top w:w="0" w:type="dxa"/>
            <w:left w:w="108" w:type="dxa"/>
            <w:bottom w:w="0" w:type="dxa"/>
            <w:right w:w="108" w:type="dxa"/>
          </w:tblCellMar>
        </w:tblPrEx>
        <w:trPr>
          <w:trHeight w:val="3720" w:hRule="atLeast"/>
        </w:trPr>
        <w:tc>
          <w:tcPr>
            <w:tcW w:w="6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3</w:t>
            </w:r>
          </w:p>
        </w:tc>
        <w:tc>
          <w:tcPr>
            <w:tcW w:w="4725" w:type="dxa"/>
            <w:tcBorders>
              <w:top w:val="nil"/>
              <w:left w:val="nil"/>
              <w:bottom w:val="single" w:color="auto" w:sz="4" w:space="0"/>
              <w:right w:val="single" w:color="auto" w:sz="4" w:space="0"/>
            </w:tcBorders>
            <w:shd w:val="clear" w:color="auto" w:fill="auto"/>
            <w:noWrap w:val="0"/>
            <w:vAlign w:val="top"/>
          </w:tcPr>
          <w:p>
            <w:pPr>
              <w:widowControl/>
              <w:spacing w:line="300" w:lineRule="exact"/>
              <w:rPr>
                <w:rFonts w:hint="eastAsia" w:eastAsia="仿宋_GB2312"/>
                <w:kern w:val="0"/>
                <w:szCs w:val="21"/>
                <w:lang w:eastAsia="zh-CN"/>
              </w:rPr>
            </w:pPr>
            <w:r>
              <w:rPr>
                <w:rFonts w:hint="default" w:eastAsia="仿宋_GB2312"/>
                <w:b/>
                <w:bCs/>
                <w:kern w:val="0"/>
                <w:szCs w:val="21"/>
              </w:rPr>
              <w:t>问题一（三）：</w:t>
            </w:r>
            <w:r>
              <w:rPr>
                <w:rFonts w:hint="default" w:eastAsia="仿宋_GB2312"/>
                <w:kern w:val="0"/>
                <w:szCs w:val="21"/>
              </w:rPr>
              <w:t>对群众反映的突出生态环境问题重视不够，处理不够及时，措施不够有力。</w:t>
            </w:r>
          </w:p>
          <w:p>
            <w:pPr>
              <w:widowControl/>
              <w:spacing w:line="30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省委办公厅、省政府办公厅</w:t>
            </w:r>
          </w:p>
          <w:p>
            <w:pPr>
              <w:widowControl/>
              <w:spacing w:line="30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市委办公厅、市政府办公厅</w:t>
            </w:r>
          </w:p>
          <w:p>
            <w:pPr>
              <w:widowControl/>
              <w:spacing w:line="30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立行立改、长期坚持</w:t>
            </w:r>
          </w:p>
          <w:p>
            <w:pPr>
              <w:widowControl/>
              <w:spacing w:line="30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确保第一轮和第二轮中央生态环境保护督察交办信访件全面整改，信访办理机制进一步健全，人民群众的生态环境获得感、幸福感、安全感明显增强。</w:t>
            </w:r>
          </w:p>
        </w:tc>
        <w:tc>
          <w:tcPr>
            <w:tcW w:w="7020"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firstLine="420" w:firstLineChars="200"/>
              <w:jc w:val="left"/>
              <w:rPr>
                <w:rFonts w:eastAsia="仿宋_GB2312"/>
                <w:kern w:val="0"/>
                <w:szCs w:val="21"/>
              </w:rPr>
            </w:pPr>
            <w:r>
              <w:rPr>
                <w:rFonts w:hint="default" w:eastAsia="仿宋_GB2312"/>
                <w:kern w:val="0"/>
                <w:szCs w:val="21"/>
              </w:rPr>
              <w:t>1.全省各级各有关部门进一步提高政治站位，牢固树立“良好生态环境是最普惠的民生福祉”的基本民生观，实现群众生态环境信访办理从被动应对向主动作为转变。</w:t>
            </w:r>
          </w:p>
          <w:p>
            <w:pPr>
              <w:widowControl/>
              <w:spacing w:line="240" w:lineRule="exact"/>
              <w:ind w:firstLine="420" w:firstLineChars="200"/>
              <w:jc w:val="left"/>
              <w:rPr>
                <w:rFonts w:eastAsia="仿宋_GB2312"/>
                <w:kern w:val="0"/>
                <w:szCs w:val="21"/>
              </w:rPr>
            </w:pPr>
            <w:r>
              <w:rPr>
                <w:rFonts w:hint="default" w:eastAsia="仿宋_GB2312"/>
                <w:kern w:val="0"/>
                <w:szCs w:val="21"/>
              </w:rPr>
              <w:t>2.统筹抓好两轮中央生态环境保护督察反馈问题和交办信访件整改，以更坚决的态度、更有力的举措，推动问题整改到位，以整改实际成效取信于民。</w:t>
            </w:r>
          </w:p>
          <w:p>
            <w:pPr>
              <w:widowControl/>
              <w:spacing w:line="240" w:lineRule="exact"/>
              <w:ind w:firstLine="420" w:firstLineChars="200"/>
              <w:jc w:val="left"/>
              <w:rPr>
                <w:rFonts w:eastAsia="仿宋_GB2312"/>
                <w:kern w:val="0"/>
                <w:szCs w:val="21"/>
              </w:rPr>
            </w:pPr>
            <w:r>
              <w:rPr>
                <w:rFonts w:hint="default" w:eastAsia="仿宋_GB2312"/>
                <w:kern w:val="0"/>
                <w:szCs w:val="21"/>
              </w:rPr>
              <w:t>3.实施《福建省生态环境保护领域信访问题排查整治工作方案》，健全信访件验收销号机制，2020年底前两轮督察交办信访件阶段性办结或基本办结。</w:t>
            </w:r>
          </w:p>
          <w:p>
            <w:pPr>
              <w:widowControl/>
              <w:spacing w:line="240" w:lineRule="exact"/>
              <w:ind w:firstLine="420" w:firstLineChars="200"/>
              <w:jc w:val="left"/>
              <w:rPr>
                <w:rFonts w:eastAsia="仿宋_GB2312"/>
                <w:kern w:val="0"/>
                <w:szCs w:val="21"/>
              </w:rPr>
            </w:pPr>
            <w:r>
              <w:rPr>
                <w:rFonts w:hint="default" w:eastAsia="仿宋_GB2312"/>
                <w:kern w:val="0"/>
                <w:szCs w:val="21"/>
              </w:rPr>
              <w:t>4.推进12369与12345便民服务平台并轨运行，对两轮督察交办的信访件以及环保举报热线受理的部分重复投诉信访件等群众信访投诉问题开展现场核查督办。</w:t>
            </w:r>
          </w:p>
          <w:p>
            <w:pPr>
              <w:widowControl/>
              <w:spacing w:line="240" w:lineRule="exact"/>
              <w:ind w:firstLine="420" w:firstLineChars="200"/>
              <w:jc w:val="left"/>
              <w:rPr>
                <w:rFonts w:eastAsia="仿宋_GB2312"/>
                <w:kern w:val="0"/>
                <w:szCs w:val="21"/>
              </w:rPr>
            </w:pPr>
            <w:r>
              <w:rPr>
                <w:rFonts w:hint="default" w:eastAsia="仿宋_GB2312"/>
                <w:kern w:val="0"/>
                <w:szCs w:val="21"/>
              </w:rPr>
              <w:t>5.制定《关于改革完善信访投诉工作机制推进解决群众身边突出生态环境问题的实施意见》，确保有效信访投诉“问题有人接、案件及时办、效果有监督、办结有回应”。</w:t>
            </w:r>
          </w:p>
          <w:p>
            <w:pPr>
              <w:widowControl/>
              <w:spacing w:line="240" w:lineRule="exact"/>
              <w:ind w:firstLine="420" w:firstLineChars="200"/>
              <w:jc w:val="left"/>
              <w:rPr>
                <w:rFonts w:hint="default" w:eastAsia="仿宋_GB2312"/>
                <w:kern w:val="0"/>
                <w:szCs w:val="21"/>
              </w:rPr>
            </w:pPr>
            <w:r>
              <w:rPr>
                <w:rFonts w:hint="default" w:eastAsia="仿宋_GB2312"/>
                <w:kern w:val="0"/>
                <w:szCs w:val="21"/>
              </w:rPr>
              <w:t>6.依托生态环境大数据云平台，建立生态环境问题督察督办系统，实现第一轮4903件、第二轮4433件信访件全要素上平台确保精准高效、真抓实改、群众满意。</w:t>
            </w:r>
          </w:p>
        </w:tc>
        <w:tc>
          <w:tcPr>
            <w:tcW w:w="12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综合执法办</w:t>
            </w:r>
          </w:p>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综合治理办</w:t>
            </w:r>
          </w:p>
          <w:p>
            <w:pPr>
              <w:widowControl/>
              <w:spacing w:line="300" w:lineRule="exact"/>
              <w:jc w:val="center"/>
              <w:rPr>
                <w:rFonts w:hint="default" w:eastAsia="仿宋_GB2312"/>
                <w:spacing w:val="-8"/>
                <w:kern w:val="0"/>
                <w:szCs w:val="21"/>
              </w:rPr>
            </w:pPr>
            <w:r>
              <w:rPr>
                <w:rFonts w:hint="default" w:eastAsia="仿宋_GB2312"/>
                <w:spacing w:val="-8"/>
                <w:kern w:val="0"/>
                <w:szCs w:val="21"/>
              </w:rPr>
              <w:t>社区建设办</w:t>
            </w:r>
          </w:p>
        </w:tc>
      </w:tr>
      <w:tr>
        <w:tblPrEx>
          <w:tblCellMar>
            <w:top w:w="0" w:type="dxa"/>
            <w:left w:w="108" w:type="dxa"/>
            <w:bottom w:w="0" w:type="dxa"/>
            <w:right w:w="108" w:type="dxa"/>
          </w:tblCellMar>
        </w:tblPrEx>
        <w:trPr>
          <w:trHeight w:val="312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4</w:t>
            </w:r>
          </w:p>
        </w:tc>
        <w:tc>
          <w:tcPr>
            <w:tcW w:w="4725" w:type="dxa"/>
            <w:tcBorders>
              <w:top w:val="single" w:color="auto" w:sz="4" w:space="0"/>
              <w:left w:val="nil"/>
              <w:bottom w:val="single" w:color="auto" w:sz="4" w:space="0"/>
              <w:right w:val="single" w:color="auto" w:sz="4" w:space="0"/>
            </w:tcBorders>
            <w:shd w:val="clear" w:color="auto" w:fill="auto"/>
            <w:noWrap w:val="0"/>
            <w:vAlign w:val="top"/>
          </w:tcPr>
          <w:p>
            <w:pPr>
              <w:widowControl/>
              <w:spacing w:line="300" w:lineRule="exact"/>
              <w:rPr>
                <w:rFonts w:hint="eastAsia" w:eastAsia="仿宋_GB2312"/>
                <w:kern w:val="0"/>
                <w:szCs w:val="21"/>
                <w:lang w:eastAsia="zh-CN"/>
              </w:rPr>
            </w:pPr>
            <w:r>
              <w:rPr>
                <w:rFonts w:hint="default" w:eastAsia="仿宋_GB2312"/>
                <w:b/>
                <w:bCs/>
                <w:kern w:val="0"/>
                <w:szCs w:val="21"/>
              </w:rPr>
              <w:t>问题一（四）：</w:t>
            </w:r>
            <w:r>
              <w:rPr>
                <w:rFonts w:hint="default" w:eastAsia="仿宋_GB2312"/>
                <w:kern w:val="0"/>
                <w:szCs w:val="21"/>
              </w:rPr>
              <w:t>保护区管控不力。</w:t>
            </w:r>
          </w:p>
          <w:p>
            <w:pPr>
              <w:widowControl/>
              <w:spacing w:line="30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省委办公厅、省政府办公厅</w:t>
            </w:r>
          </w:p>
          <w:p>
            <w:pPr>
              <w:widowControl/>
              <w:spacing w:line="30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市委办公厅、市政府办公厅</w:t>
            </w:r>
          </w:p>
          <w:p>
            <w:pPr>
              <w:widowControl/>
              <w:spacing w:line="30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立行立改、长期坚持</w:t>
            </w:r>
          </w:p>
          <w:p>
            <w:pPr>
              <w:widowControl/>
              <w:spacing w:line="30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牢固树立“绿水青山就是金山银山”理念，加快形成节约资源和保护环境的空间格局，加快划定并严守生态保护红线、永久基本农田、城镇开发边界三条控制线，确保生态功能不降低、面积不减少、性质不改变。</w:t>
            </w:r>
          </w:p>
        </w:tc>
        <w:tc>
          <w:tcPr>
            <w:tcW w:w="7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ind w:firstLine="420" w:firstLineChars="200"/>
              <w:rPr>
                <w:rFonts w:eastAsia="仿宋_GB2312"/>
                <w:kern w:val="0"/>
                <w:szCs w:val="21"/>
              </w:rPr>
            </w:pPr>
            <w:r>
              <w:rPr>
                <w:rFonts w:hint="default" w:eastAsia="仿宋_GB2312"/>
                <w:kern w:val="0"/>
                <w:szCs w:val="21"/>
              </w:rPr>
              <w:t>1.严格落实生态环境保护“党政同责、一岗双责”，正确处理发展与保护的关系，将自然保护区保护工作纳入党政领导生态环境保护目标责任书考核内容。【社区建设办（环保）】</w:t>
            </w:r>
          </w:p>
          <w:p>
            <w:pPr>
              <w:widowControl/>
              <w:spacing w:line="300" w:lineRule="exact"/>
              <w:ind w:firstLine="420" w:firstLineChars="200"/>
              <w:rPr>
                <w:rFonts w:eastAsia="仿宋_GB2312"/>
                <w:kern w:val="0"/>
                <w:szCs w:val="21"/>
              </w:rPr>
            </w:pPr>
            <w:r>
              <w:rPr>
                <w:rFonts w:hint="default" w:eastAsia="仿宋_GB2312"/>
                <w:kern w:val="0"/>
                <w:szCs w:val="21"/>
              </w:rPr>
              <w:t>2.省林业局组织全省各地摸清各类自然保护地家底，认真核对各类自然保护地范围，建立自然保护地矢量数据库。【社区建设办（林业）】</w:t>
            </w:r>
          </w:p>
          <w:p>
            <w:pPr>
              <w:widowControl/>
              <w:spacing w:line="300" w:lineRule="exact"/>
              <w:ind w:firstLine="420" w:firstLineChars="200"/>
              <w:rPr>
                <w:rFonts w:eastAsia="仿宋_GB2312"/>
                <w:kern w:val="0"/>
                <w:szCs w:val="21"/>
              </w:rPr>
            </w:pPr>
            <w:r>
              <w:rPr>
                <w:rFonts w:hint="default" w:eastAsia="仿宋_GB2312"/>
                <w:kern w:val="0"/>
                <w:szCs w:val="21"/>
              </w:rPr>
              <w:t>3.省生态环境厅、林业局等部门持续开展“绿盾”自然保护地强化监督，到2021年底前基本实现自然保护区“天空地”一体化监督管理体系全覆盖，全程跟踪问题整改。【社区建设办（林业）】</w:t>
            </w:r>
          </w:p>
          <w:p>
            <w:pPr>
              <w:widowControl/>
              <w:spacing w:line="300" w:lineRule="exact"/>
              <w:ind w:firstLine="420" w:firstLineChars="200"/>
              <w:rPr>
                <w:rFonts w:eastAsia="仿宋_GB2312"/>
                <w:kern w:val="0"/>
                <w:szCs w:val="21"/>
              </w:rPr>
            </w:pPr>
            <w:r>
              <w:rPr>
                <w:rFonts w:hint="default" w:eastAsia="仿宋_GB2312"/>
                <w:kern w:val="0"/>
                <w:szCs w:val="21"/>
              </w:rPr>
              <w:t>4.省自然资源厅会同生态环境厅开展生态保护红线划定和评估调整工作，按国家统一部署建立生态保护红线制度。【社区建设办（林业）】</w:t>
            </w:r>
          </w:p>
          <w:p>
            <w:pPr>
              <w:widowControl/>
              <w:spacing w:line="300" w:lineRule="exact"/>
              <w:ind w:firstLine="420" w:firstLineChars="200"/>
              <w:rPr>
                <w:rFonts w:hint="default" w:eastAsia="仿宋_GB2312"/>
                <w:kern w:val="0"/>
                <w:szCs w:val="21"/>
              </w:rPr>
            </w:pPr>
            <w:r>
              <w:rPr>
                <w:rFonts w:hint="default" w:eastAsia="仿宋_GB2312"/>
                <w:kern w:val="0"/>
                <w:szCs w:val="21"/>
              </w:rPr>
              <w:t>5.各级发改、工信、自然资源、生态环境等部门对不符合国家产业政策、不符合国土空间规划、不符合环境准入要求的建设项目不予核准与审批。(经济服务办)</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eastAsia="仿宋_GB2312"/>
                <w:spacing w:val="-8"/>
                <w:kern w:val="0"/>
                <w:szCs w:val="21"/>
                <w:lang w:eastAsia="zh-CN"/>
              </w:rPr>
            </w:pPr>
            <w:r>
              <w:rPr>
                <w:rFonts w:hint="default" w:eastAsia="仿宋_GB2312"/>
                <w:spacing w:val="-8"/>
                <w:kern w:val="0"/>
                <w:szCs w:val="21"/>
              </w:rPr>
              <w:t>经济服务办</w:t>
            </w:r>
          </w:p>
          <w:p>
            <w:pPr>
              <w:widowControl/>
              <w:spacing w:line="300" w:lineRule="exact"/>
              <w:jc w:val="center"/>
              <w:rPr>
                <w:rFonts w:hint="default" w:eastAsia="仿宋_GB2312"/>
                <w:spacing w:val="-8"/>
                <w:kern w:val="0"/>
                <w:szCs w:val="21"/>
              </w:rPr>
            </w:pPr>
            <w:r>
              <w:rPr>
                <w:rFonts w:hint="default" w:eastAsia="仿宋_GB2312"/>
                <w:spacing w:val="-8"/>
                <w:kern w:val="0"/>
                <w:szCs w:val="21"/>
              </w:rPr>
              <w:t>社区建设办（林业、环保）</w:t>
            </w:r>
          </w:p>
        </w:tc>
      </w:tr>
      <w:tr>
        <w:tblPrEx>
          <w:tblCellMar>
            <w:top w:w="0" w:type="dxa"/>
            <w:left w:w="108" w:type="dxa"/>
            <w:bottom w:w="0" w:type="dxa"/>
            <w:right w:w="108" w:type="dxa"/>
          </w:tblCellMar>
        </w:tblPrEx>
        <w:trPr>
          <w:trHeight w:val="2599" w:hRule="atLeast"/>
        </w:trPr>
        <w:tc>
          <w:tcPr>
            <w:tcW w:w="6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5</w:t>
            </w:r>
          </w:p>
        </w:tc>
        <w:tc>
          <w:tcPr>
            <w:tcW w:w="4725" w:type="dxa"/>
            <w:tcBorders>
              <w:top w:val="nil"/>
              <w:left w:val="nil"/>
              <w:bottom w:val="single" w:color="auto" w:sz="4" w:space="0"/>
              <w:right w:val="single" w:color="auto" w:sz="4" w:space="0"/>
            </w:tcBorders>
            <w:shd w:val="clear" w:color="auto" w:fill="auto"/>
            <w:noWrap w:val="0"/>
            <w:vAlign w:val="top"/>
          </w:tcPr>
          <w:p>
            <w:pPr>
              <w:widowControl/>
              <w:spacing w:line="300" w:lineRule="exact"/>
              <w:rPr>
                <w:rFonts w:hint="eastAsia" w:eastAsia="仿宋_GB2312"/>
                <w:kern w:val="0"/>
                <w:szCs w:val="21"/>
                <w:lang w:eastAsia="zh-CN"/>
              </w:rPr>
            </w:pPr>
            <w:r>
              <w:rPr>
                <w:rFonts w:hint="default" w:eastAsia="仿宋_GB2312"/>
                <w:b/>
                <w:bCs/>
                <w:kern w:val="0"/>
                <w:szCs w:val="21"/>
              </w:rPr>
              <w:t>问题二（一）：</w:t>
            </w:r>
            <w:r>
              <w:rPr>
                <w:rFonts w:hint="default" w:eastAsia="仿宋_GB2312"/>
                <w:kern w:val="0"/>
                <w:szCs w:val="21"/>
              </w:rPr>
              <w:t>整改态度不够坚决。</w:t>
            </w:r>
          </w:p>
          <w:p>
            <w:pPr>
              <w:widowControl/>
              <w:spacing w:line="30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省住建厅</w:t>
            </w:r>
          </w:p>
          <w:p>
            <w:pPr>
              <w:widowControl/>
              <w:spacing w:line="30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市市政园林局、市生态环境局</w:t>
            </w:r>
          </w:p>
          <w:p>
            <w:pPr>
              <w:widowControl/>
              <w:spacing w:line="30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2022年底前</w:t>
            </w:r>
          </w:p>
          <w:p>
            <w:pPr>
              <w:widowControl/>
              <w:spacing w:line="30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厦门市2022年底前城市建成区生活污水基本实现全收集、全处理，实现长制久清，提高人民群众环境获得感和幸福感。</w:t>
            </w:r>
          </w:p>
        </w:tc>
        <w:tc>
          <w:tcPr>
            <w:tcW w:w="7020" w:type="dxa"/>
            <w:tcBorders>
              <w:top w:val="nil"/>
              <w:left w:val="nil"/>
              <w:bottom w:val="single" w:color="auto" w:sz="4" w:space="0"/>
              <w:right w:val="single" w:color="auto" w:sz="4" w:space="0"/>
            </w:tcBorders>
            <w:shd w:val="clear" w:color="auto" w:fill="auto"/>
            <w:noWrap w:val="0"/>
            <w:vAlign w:val="center"/>
          </w:tcPr>
          <w:p>
            <w:pPr>
              <w:widowControl/>
              <w:spacing w:line="300" w:lineRule="exact"/>
              <w:ind w:firstLine="420" w:firstLineChars="200"/>
              <w:rPr>
                <w:rFonts w:eastAsia="仿宋_GB2312"/>
                <w:kern w:val="0"/>
                <w:szCs w:val="21"/>
              </w:rPr>
            </w:pPr>
            <w:r>
              <w:rPr>
                <w:rFonts w:hint="default" w:eastAsia="仿宋_GB2312"/>
                <w:kern w:val="0"/>
                <w:szCs w:val="21"/>
              </w:rPr>
              <w:t>1.厦门市进一步提高思想认识，加强组织领导，强化统筹协调，全面落实国务院《水污染防治行动计划》要求及省委和省政府工作安排，把黑臭水体整治列入党委和政府重要议事日程。</w:t>
            </w:r>
          </w:p>
          <w:p>
            <w:pPr>
              <w:widowControl/>
              <w:spacing w:line="300" w:lineRule="exact"/>
              <w:ind w:firstLine="420" w:firstLineChars="200"/>
              <w:rPr>
                <w:rFonts w:eastAsia="仿宋_GB2312"/>
                <w:kern w:val="0"/>
                <w:szCs w:val="21"/>
              </w:rPr>
            </w:pPr>
            <w:r>
              <w:rPr>
                <w:rFonts w:hint="default" w:eastAsia="仿宋_GB2312"/>
                <w:kern w:val="0"/>
                <w:szCs w:val="21"/>
              </w:rPr>
              <w:t>2.厦门市坚持标本兼治、重在治本，全面开展城市建成区生活污水管网排查，实施污水管网改造、修复和截污纳管，到2022年底基本实现生活污水全收集、全处理。</w:t>
            </w:r>
          </w:p>
          <w:p>
            <w:pPr>
              <w:widowControl/>
              <w:spacing w:line="300" w:lineRule="exact"/>
              <w:ind w:firstLine="420" w:firstLineChars="200"/>
              <w:rPr>
                <w:rFonts w:eastAsia="仿宋_GB2312"/>
                <w:kern w:val="0"/>
                <w:szCs w:val="21"/>
              </w:rPr>
            </w:pPr>
            <w:r>
              <w:rPr>
                <w:rFonts w:hint="default" w:eastAsia="仿宋_GB2312"/>
                <w:kern w:val="0"/>
                <w:szCs w:val="21"/>
              </w:rPr>
              <w:t>3.省住建厅指导督促厦门市落实《关于抓好城镇污水处理提质增效工作的通知》，推进城市排水设施改造建设，督促污水治理设施稳定正常运行，提高城市污水收集处理效能。</w:t>
            </w:r>
          </w:p>
          <w:p>
            <w:pPr>
              <w:widowControl/>
              <w:spacing w:line="300" w:lineRule="exact"/>
              <w:ind w:firstLine="420" w:firstLineChars="200"/>
              <w:rPr>
                <w:rFonts w:eastAsia="仿宋_GB2312"/>
                <w:kern w:val="0"/>
                <w:szCs w:val="21"/>
              </w:rPr>
            </w:pPr>
            <w:r>
              <w:rPr>
                <w:rFonts w:hint="default" w:eastAsia="仿宋_GB2312"/>
                <w:kern w:val="0"/>
                <w:szCs w:val="21"/>
              </w:rPr>
              <w:t>4.省住建厅、生态环境厅指导督促其他设区市加快城市建成区黑臭水体整治进度，按照《福建省城市黑臭水体治理攻坚战实施方案》要求，确保在2020年底前各设区市城市建成区黑臭水体整治到位。</w:t>
            </w:r>
          </w:p>
          <w:p>
            <w:pPr>
              <w:widowControl/>
              <w:spacing w:line="300" w:lineRule="exact"/>
              <w:ind w:firstLine="420" w:firstLineChars="200"/>
              <w:rPr>
                <w:rFonts w:hint="default" w:eastAsia="仿宋_GB2312"/>
                <w:kern w:val="0"/>
                <w:szCs w:val="21"/>
              </w:rPr>
            </w:pPr>
            <w:r>
              <w:rPr>
                <w:rFonts w:hint="default" w:eastAsia="仿宋_GB2312"/>
                <w:kern w:val="0"/>
                <w:szCs w:val="21"/>
              </w:rPr>
              <w:t>5.对厦门市督察整改不力、大量生活污水直排问题依规依纪依法问责。</w:t>
            </w:r>
          </w:p>
        </w:tc>
        <w:tc>
          <w:tcPr>
            <w:tcW w:w="12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spacing w:val="-8"/>
                <w:kern w:val="0"/>
                <w:szCs w:val="21"/>
              </w:rPr>
            </w:pPr>
            <w:r>
              <w:rPr>
                <w:rFonts w:hint="default" w:eastAsia="仿宋_GB2312"/>
                <w:spacing w:val="-8"/>
                <w:kern w:val="0"/>
                <w:szCs w:val="21"/>
              </w:rPr>
              <w:t>社区建设办（河长）</w:t>
            </w:r>
          </w:p>
        </w:tc>
      </w:tr>
      <w:tr>
        <w:tblPrEx>
          <w:tblCellMar>
            <w:top w:w="0" w:type="dxa"/>
            <w:left w:w="108" w:type="dxa"/>
            <w:bottom w:w="0" w:type="dxa"/>
            <w:right w:w="108" w:type="dxa"/>
          </w:tblCellMar>
        </w:tblPrEx>
        <w:trPr>
          <w:trHeight w:val="3409"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6</w:t>
            </w:r>
          </w:p>
        </w:tc>
        <w:tc>
          <w:tcPr>
            <w:tcW w:w="4725" w:type="dxa"/>
            <w:tcBorders>
              <w:top w:val="single" w:color="auto" w:sz="4" w:space="0"/>
              <w:left w:val="nil"/>
              <w:bottom w:val="single" w:color="auto" w:sz="4" w:space="0"/>
              <w:right w:val="single" w:color="auto" w:sz="4" w:space="0"/>
            </w:tcBorders>
            <w:shd w:val="clear" w:color="auto" w:fill="auto"/>
            <w:noWrap w:val="0"/>
            <w:vAlign w:val="top"/>
          </w:tcPr>
          <w:p>
            <w:pPr>
              <w:widowControl/>
              <w:spacing w:line="260" w:lineRule="exact"/>
              <w:rPr>
                <w:rFonts w:hint="eastAsia" w:eastAsia="仿宋_GB2312"/>
                <w:kern w:val="0"/>
                <w:szCs w:val="21"/>
                <w:lang w:eastAsia="zh-CN"/>
              </w:rPr>
            </w:pPr>
            <w:r>
              <w:rPr>
                <w:rFonts w:hint="default" w:eastAsia="仿宋_GB2312"/>
                <w:b/>
                <w:bCs/>
                <w:kern w:val="0"/>
                <w:szCs w:val="21"/>
              </w:rPr>
              <w:t>问题二（二）：</w:t>
            </w:r>
            <w:r>
              <w:rPr>
                <w:rFonts w:hint="default" w:eastAsia="仿宋_GB2312"/>
                <w:kern w:val="0"/>
                <w:szCs w:val="21"/>
              </w:rPr>
              <w:t>污水处理能力不足。</w:t>
            </w:r>
          </w:p>
          <w:p>
            <w:pPr>
              <w:widowControl/>
              <w:spacing w:line="26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省住建厅</w:t>
            </w:r>
          </w:p>
          <w:p>
            <w:pPr>
              <w:widowControl/>
              <w:spacing w:line="260" w:lineRule="exact"/>
              <w:rPr>
                <w:rFonts w:hint="eastAsia" w:eastAsia="仿宋_GB2312"/>
                <w:kern w:val="0"/>
                <w:szCs w:val="21"/>
                <w:lang w:eastAsia="zh-CN"/>
              </w:rPr>
            </w:pPr>
            <w:r>
              <w:rPr>
                <w:rFonts w:hint="default" w:eastAsia="仿宋_GB2312"/>
                <w:b/>
                <w:bCs/>
                <w:kern w:val="0"/>
                <w:szCs w:val="21"/>
              </w:rPr>
              <w:t>市直牵头单位：</w:t>
            </w:r>
            <w:r>
              <w:rPr>
                <w:rFonts w:hint="default" w:eastAsia="仿宋_GB2312"/>
                <w:kern w:val="0"/>
                <w:szCs w:val="21"/>
              </w:rPr>
              <w:t>市市政园林局</w:t>
            </w:r>
          </w:p>
          <w:p>
            <w:pPr>
              <w:widowControl/>
              <w:spacing w:line="26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2022年底前</w:t>
            </w:r>
          </w:p>
          <w:p>
            <w:pPr>
              <w:widowControl/>
              <w:spacing w:line="26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进一步加大生活污水处理设施建设力度，2020年底前，污水处理能力全面提升；2022年底前新增污水处理能力100万吨/日，基本实现生活污水全处理。</w:t>
            </w:r>
          </w:p>
        </w:tc>
        <w:tc>
          <w:tcPr>
            <w:tcW w:w="7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ind w:firstLine="420" w:firstLineChars="200"/>
              <w:jc w:val="left"/>
              <w:rPr>
                <w:rFonts w:eastAsia="仿宋_GB2312"/>
                <w:kern w:val="0"/>
                <w:szCs w:val="21"/>
              </w:rPr>
            </w:pPr>
            <w:r>
              <w:rPr>
                <w:rFonts w:hint="default" w:eastAsia="仿宋_GB2312"/>
                <w:kern w:val="0"/>
                <w:szCs w:val="21"/>
              </w:rPr>
              <w:t>1.厦门市加强组织领导，健全领导包案整改工作机制，成立全市污水处理设施高质量高标准建设指挥部，由市政府主要领导任总指挥，全力加快污水处理设施建设。</w:t>
            </w:r>
          </w:p>
          <w:p>
            <w:pPr>
              <w:widowControl/>
              <w:spacing w:line="260" w:lineRule="exact"/>
              <w:ind w:firstLine="420" w:firstLineChars="200"/>
              <w:jc w:val="left"/>
              <w:rPr>
                <w:rFonts w:eastAsia="仿宋_GB2312"/>
                <w:kern w:val="0"/>
                <w:szCs w:val="21"/>
              </w:rPr>
            </w:pPr>
            <w:r>
              <w:rPr>
                <w:rFonts w:hint="default" w:eastAsia="仿宋_GB2312"/>
                <w:kern w:val="0"/>
                <w:szCs w:val="21"/>
              </w:rPr>
              <w:t>2.2020年6月底前翔安、杏林2座污水处理厂建成投用；2020年底前前埔污水处理厂三期、同安污水处理厂四期、马銮再生水厂、海沧污水厂扩建项目、西柯污水处理厂等5座污水处理厂建成投用；2021年底前高崎污水处理厂一期建成投用。</w:t>
            </w:r>
          </w:p>
          <w:p>
            <w:pPr>
              <w:widowControl/>
              <w:spacing w:line="260" w:lineRule="exact"/>
              <w:ind w:firstLine="420" w:firstLineChars="200"/>
              <w:jc w:val="left"/>
              <w:rPr>
                <w:rFonts w:eastAsia="仿宋_GB2312"/>
                <w:kern w:val="0"/>
                <w:szCs w:val="21"/>
              </w:rPr>
            </w:pPr>
            <w:r>
              <w:rPr>
                <w:rFonts w:hint="default" w:eastAsia="仿宋_GB2312"/>
                <w:kern w:val="0"/>
                <w:szCs w:val="21"/>
              </w:rPr>
              <w:t>3.厦门市按照“集中为主、分散为辅、统一规划、分期实施”的原则，全面提升污水处理能力，2020年6月底前完成全市污水处理专项规划修编工作。2022年底前实现三个“一百”，新增污水处理能力100万吨/日以上。</w:t>
            </w:r>
          </w:p>
          <w:p>
            <w:pPr>
              <w:widowControl/>
              <w:spacing w:line="260" w:lineRule="exact"/>
              <w:ind w:firstLine="420" w:firstLineChars="200"/>
              <w:jc w:val="left"/>
              <w:rPr>
                <w:rFonts w:eastAsia="仿宋_GB2312"/>
                <w:kern w:val="0"/>
                <w:szCs w:val="21"/>
              </w:rPr>
            </w:pPr>
            <w:r>
              <w:rPr>
                <w:rFonts w:hint="default" w:eastAsia="仿宋_GB2312"/>
                <w:kern w:val="0"/>
                <w:szCs w:val="21"/>
              </w:rPr>
              <w:t>4.省住建厅加强日常调度和业务指导，指导督促厦门市加快污水处理设施建设进度，确保按时完成建设任务。</w:t>
            </w:r>
          </w:p>
          <w:p>
            <w:pPr>
              <w:widowControl/>
              <w:spacing w:line="260" w:lineRule="exact"/>
              <w:ind w:firstLine="420" w:firstLineChars="200"/>
              <w:jc w:val="left"/>
              <w:rPr>
                <w:rFonts w:hint="default" w:eastAsia="仿宋_GB2312"/>
                <w:kern w:val="0"/>
                <w:szCs w:val="21"/>
              </w:rPr>
            </w:pPr>
            <w:r>
              <w:rPr>
                <w:rFonts w:hint="default" w:eastAsia="仿宋_GB2312"/>
                <w:kern w:val="0"/>
                <w:szCs w:val="21"/>
              </w:rPr>
              <w:t>5.对厦门市督察整改不力、大量生活污水直排问题依规依纪依法问责。</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spacing w:val="-8"/>
                <w:kern w:val="0"/>
                <w:szCs w:val="21"/>
              </w:rPr>
            </w:pPr>
            <w:r>
              <w:rPr>
                <w:rFonts w:hint="default" w:eastAsia="仿宋_GB2312"/>
                <w:spacing w:val="-8"/>
                <w:kern w:val="0"/>
                <w:szCs w:val="21"/>
              </w:rPr>
              <w:t>社区建设办</w:t>
            </w:r>
          </w:p>
        </w:tc>
      </w:tr>
      <w:tr>
        <w:tblPrEx>
          <w:tblCellMar>
            <w:top w:w="0" w:type="dxa"/>
            <w:left w:w="108" w:type="dxa"/>
            <w:bottom w:w="0" w:type="dxa"/>
            <w:right w:w="108" w:type="dxa"/>
          </w:tblCellMar>
        </w:tblPrEx>
        <w:trPr>
          <w:trHeight w:val="4514" w:hRule="atLeast"/>
        </w:trPr>
        <w:tc>
          <w:tcPr>
            <w:tcW w:w="6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8</w:t>
            </w:r>
          </w:p>
        </w:tc>
        <w:tc>
          <w:tcPr>
            <w:tcW w:w="4725" w:type="dxa"/>
            <w:tcBorders>
              <w:top w:val="nil"/>
              <w:left w:val="nil"/>
              <w:bottom w:val="single" w:color="auto" w:sz="4" w:space="0"/>
              <w:right w:val="single" w:color="auto" w:sz="4" w:space="0"/>
            </w:tcBorders>
            <w:shd w:val="clear" w:color="auto" w:fill="auto"/>
            <w:noWrap w:val="0"/>
            <w:vAlign w:val="top"/>
          </w:tcPr>
          <w:p>
            <w:pPr>
              <w:widowControl/>
              <w:spacing w:line="260" w:lineRule="exact"/>
              <w:rPr>
                <w:rFonts w:hint="eastAsia" w:eastAsia="仿宋_GB2312"/>
                <w:kern w:val="0"/>
                <w:szCs w:val="21"/>
                <w:lang w:eastAsia="zh-CN"/>
              </w:rPr>
            </w:pPr>
            <w:r>
              <w:rPr>
                <w:rFonts w:hint="default" w:eastAsia="仿宋_GB2312"/>
                <w:b/>
                <w:bCs/>
                <w:kern w:val="0"/>
                <w:szCs w:val="21"/>
              </w:rPr>
              <w:t>问题四（一）：</w:t>
            </w:r>
            <w:r>
              <w:rPr>
                <w:rFonts w:hint="default" w:eastAsia="仿宋_GB2312"/>
                <w:kern w:val="0"/>
                <w:szCs w:val="21"/>
              </w:rPr>
              <w:t>厦门市由于污水处理能力严重不足，大量污水只能直排，经初步测算，全市每天约14.5万吨污水直排入海，另有14万吨雨污混合污水通过加药处理后直排入海，五缘湾大桥、埭辽水堤、现代码头等11个排污口氨氮浓度平均高达25毫克/升以上，严重影响近岸海域水质，2018年厦门市近岸海域水质达标率仅为28.6%，同比下降14.3个百分点。</w:t>
            </w:r>
          </w:p>
          <w:p>
            <w:pPr>
              <w:widowControl/>
              <w:spacing w:line="26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：省住建厅</w:t>
            </w:r>
          </w:p>
          <w:p>
            <w:pPr>
              <w:widowControl/>
              <w:spacing w:line="260" w:lineRule="exact"/>
              <w:rPr>
                <w:rFonts w:hint="eastAsia" w:eastAsia="仿宋_GB2312"/>
                <w:kern w:val="0"/>
                <w:szCs w:val="21"/>
                <w:lang w:eastAsia="zh-CN"/>
              </w:rPr>
            </w:pPr>
            <w:r>
              <w:rPr>
                <w:rFonts w:hint="default" w:eastAsia="仿宋_GB2312"/>
                <w:b/>
                <w:bCs/>
                <w:kern w:val="0"/>
                <w:szCs w:val="21"/>
              </w:rPr>
              <w:t>责任单位：</w:t>
            </w:r>
            <w:r>
              <w:rPr>
                <w:rFonts w:hint="default" w:eastAsia="仿宋_GB2312"/>
                <w:kern w:val="0"/>
                <w:szCs w:val="21"/>
              </w:rPr>
              <w:t>厦门市委和市政府，省生态环境厅</w:t>
            </w:r>
          </w:p>
          <w:p>
            <w:pPr>
              <w:widowControl/>
              <w:spacing w:line="26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2022年底前</w:t>
            </w:r>
          </w:p>
          <w:p>
            <w:pPr>
              <w:widowControl/>
              <w:spacing w:line="26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严守“生态环境质量只能更好、不能变坏”责任底线，对标全国生态文明示范市的要求，加强生活污水处理设施和管网建设，按期完成入海排污口排查整治。2020年底前，污水直排入海基本</w:t>
            </w:r>
            <w:r>
              <w:rPr>
                <w:rFonts w:hint="eastAsia" w:eastAsia="仿宋_GB2312"/>
                <w:kern w:val="0"/>
                <w:szCs w:val="21"/>
                <w:lang w:eastAsia="zh-CN"/>
              </w:rPr>
              <w:t>根</w:t>
            </w:r>
            <w:r>
              <w:rPr>
                <w:rFonts w:hint="default" w:eastAsia="仿宋_GB2312"/>
                <w:kern w:val="0"/>
                <w:szCs w:val="21"/>
              </w:rPr>
              <w:t>绝；2022年底前，近岸海域水质达到国家考核要求。</w:t>
            </w:r>
          </w:p>
        </w:tc>
        <w:tc>
          <w:tcPr>
            <w:tcW w:w="7020" w:type="dxa"/>
            <w:tcBorders>
              <w:top w:val="nil"/>
              <w:left w:val="nil"/>
              <w:bottom w:val="single" w:color="auto" w:sz="4" w:space="0"/>
              <w:right w:val="single" w:color="auto" w:sz="4" w:space="0"/>
            </w:tcBorders>
            <w:shd w:val="clear" w:color="auto" w:fill="auto"/>
            <w:noWrap w:val="0"/>
            <w:vAlign w:val="top"/>
          </w:tcPr>
          <w:p>
            <w:pPr>
              <w:widowControl/>
              <w:spacing w:line="260" w:lineRule="exact"/>
              <w:ind w:firstLine="420" w:firstLineChars="200"/>
              <w:rPr>
                <w:rFonts w:eastAsia="仿宋_GB2312"/>
                <w:kern w:val="0"/>
                <w:szCs w:val="21"/>
              </w:rPr>
            </w:pPr>
            <w:r>
              <w:rPr>
                <w:rFonts w:hint="default" w:eastAsia="仿宋_GB2312"/>
                <w:kern w:val="0"/>
                <w:szCs w:val="21"/>
              </w:rPr>
              <w:t>1.厦门市加强组织领导，健全领导包案整改工作机制，成立全市污水处理设施高质量高标准建设指挥部，由市政府主要领导任总指挥，全力加快污水收集管网建设，2022年底前实现三个“一百”。【社区建设办（市政）】</w:t>
            </w:r>
          </w:p>
          <w:p>
            <w:pPr>
              <w:widowControl/>
              <w:spacing w:line="260" w:lineRule="exact"/>
              <w:ind w:firstLine="420" w:firstLineChars="200"/>
              <w:rPr>
                <w:rFonts w:eastAsia="仿宋_GB2312"/>
                <w:kern w:val="0"/>
                <w:szCs w:val="21"/>
              </w:rPr>
            </w:pPr>
            <w:r>
              <w:rPr>
                <w:rFonts w:hint="default" w:eastAsia="仿宋_GB2312"/>
                <w:kern w:val="0"/>
                <w:szCs w:val="21"/>
              </w:rPr>
              <w:t>2.省住建厅加强日常调度和业务指导，指导督促厦门市加快污水管网新建改造进度，确保按时完成建设任务。【社区建设办（市政）】</w:t>
            </w:r>
          </w:p>
          <w:p>
            <w:pPr>
              <w:widowControl/>
              <w:spacing w:line="260" w:lineRule="exact"/>
              <w:ind w:firstLine="420" w:firstLineChars="200"/>
              <w:rPr>
                <w:rFonts w:eastAsia="仿宋_GB2312"/>
                <w:kern w:val="0"/>
                <w:szCs w:val="21"/>
              </w:rPr>
            </w:pPr>
            <w:r>
              <w:rPr>
                <w:rFonts w:hint="default" w:eastAsia="仿宋_GB2312"/>
                <w:kern w:val="0"/>
                <w:szCs w:val="21"/>
              </w:rPr>
              <w:t>3.省生态环境厅指导督促厦门市加强入海排污口排查整治，提升近岸海域水质状况，2020年底前完成五缘湾大桥、埭辽水堤、现代码头等11个污水直排口截污工程建设，基本</w:t>
            </w:r>
            <w:r>
              <w:rPr>
                <w:rFonts w:hint="eastAsia" w:eastAsia="仿宋_GB2312"/>
                <w:kern w:val="0"/>
                <w:szCs w:val="21"/>
                <w:lang w:eastAsia="zh-CN"/>
              </w:rPr>
              <w:t>根</w:t>
            </w:r>
            <w:r>
              <w:rPr>
                <w:rFonts w:hint="default" w:eastAsia="仿宋_GB2312"/>
                <w:kern w:val="0"/>
                <w:szCs w:val="21"/>
              </w:rPr>
              <w:t>绝污水未经处理直排入海现象。【社区建设办（河长）】【综合执法办（环卫）】</w:t>
            </w:r>
          </w:p>
          <w:p>
            <w:pPr>
              <w:widowControl/>
              <w:spacing w:line="260" w:lineRule="exact"/>
              <w:ind w:firstLine="420" w:firstLineChars="200"/>
              <w:rPr>
                <w:rFonts w:hint="default" w:eastAsia="仿宋_GB2312"/>
                <w:kern w:val="0"/>
                <w:szCs w:val="21"/>
              </w:rPr>
            </w:pPr>
            <w:r>
              <w:rPr>
                <w:rFonts w:hint="default" w:eastAsia="仿宋_GB2312"/>
                <w:kern w:val="0"/>
                <w:szCs w:val="21"/>
              </w:rPr>
              <w:t>4.对厦门市督察整改不力、大量生活污水直排问题依规依纪依法问责。社区建设办（市政）</w:t>
            </w:r>
          </w:p>
        </w:tc>
        <w:tc>
          <w:tcPr>
            <w:tcW w:w="12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spacing w:val="-8"/>
                <w:kern w:val="0"/>
                <w:szCs w:val="21"/>
              </w:rPr>
            </w:pPr>
            <w:r>
              <w:rPr>
                <w:rFonts w:hint="default" w:eastAsia="仿宋_GB2312"/>
                <w:spacing w:val="-8"/>
                <w:kern w:val="0"/>
                <w:szCs w:val="21"/>
              </w:rPr>
              <w:t>社区建设办（市政、河长）、综合执法办（环卫）</w:t>
            </w:r>
          </w:p>
        </w:tc>
      </w:tr>
      <w:tr>
        <w:tblPrEx>
          <w:tblCellMar>
            <w:top w:w="0" w:type="dxa"/>
            <w:left w:w="108" w:type="dxa"/>
            <w:bottom w:w="0" w:type="dxa"/>
            <w:right w:w="108" w:type="dxa"/>
          </w:tblCellMar>
        </w:tblPrEx>
        <w:trPr>
          <w:trHeight w:val="4187"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default" w:eastAsia="仿宋_GB2312"/>
                <w:kern w:val="0"/>
                <w:szCs w:val="21"/>
              </w:rPr>
            </w:pPr>
            <w:r>
              <w:rPr>
                <w:rFonts w:hint="default" w:eastAsia="仿宋_GB2312"/>
                <w:kern w:val="0"/>
                <w:szCs w:val="21"/>
              </w:rPr>
              <w:t>9</w:t>
            </w:r>
          </w:p>
        </w:tc>
        <w:tc>
          <w:tcPr>
            <w:tcW w:w="4725" w:type="dxa"/>
            <w:tcBorders>
              <w:top w:val="single" w:color="auto" w:sz="4" w:space="0"/>
              <w:left w:val="nil"/>
              <w:bottom w:val="single" w:color="auto" w:sz="4" w:space="0"/>
              <w:right w:val="single" w:color="auto" w:sz="4" w:space="0"/>
            </w:tcBorders>
            <w:shd w:val="clear" w:color="auto" w:fill="auto"/>
            <w:noWrap w:val="0"/>
            <w:vAlign w:val="top"/>
          </w:tcPr>
          <w:p>
            <w:pPr>
              <w:widowControl/>
              <w:spacing w:line="220" w:lineRule="exact"/>
              <w:rPr>
                <w:rFonts w:hint="eastAsia" w:eastAsia="仿宋_GB2312"/>
                <w:kern w:val="0"/>
                <w:szCs w:val="21"/>
                <w:lang w:eastAsia="zh-CN"/>
              </w:rPr>
            </w:pPr>
            <w:r>
              <w:rPr>
                <w:rFonts w:hint="default" w:eastAsia="仿宋_GB2312"/>
                <w:b/>
                <w:bCs/>
                <w:kern w:val="0"/>
                <w:szCs w:val="21"/>
              </w:rPr>
              <w:t>问题五（一）：</w:t>
            </w:r>
            <w:r>
              <w:rPr>
                <w:rFonts w:hint="default" w:eastAsia="仿宋_GB2312"/>
                <w:kern w:val="0"/>
                <w:szCs w:val="21"/>
              </w:rPr>
              <w:t>近年来，福建省六大高耗能行业工业增加值比重逐年提升，一些地方能源消费控制指标被不断突破。《福建省“十三五”节能减排综合工作方案》提出，每年组织开展节能减排目标责任评价考核，对未完成能耗总量控制目标的地市，实行高耗能项目缓批限批措施。但督察发现，福州、厦门、莆田3市2017-2018年连续两年没有完成能耗总量控制指标，厦门市2018年能耗总量甚至超过“十三五”目标限额，但省工业和信息化厅始终没有对有关地市采取高耗能项目缓批限批措施，履职不到位。</w:t>
            </w:r>
          </w:p>
          <w:p>
            <w:pPr>
              <w:widowControl/>
              <w:spacing w:line="22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省工信厅</w:t>
            </w:r>
          </w:p>
          <w:p>
            <w:pPr>
              <w:widowControl/>
              <w:spacing w:line="220" w:lineRule="exact"/>
              <w:rPr>
                <w:rFonts w:hint="eastAsia" w:eastAsia="仿宋_GB2312"/>
                <w:kern w:val="0"/>
                <w:szCs w:val="21"/>
                <w:lang w:eastAsia="zh-CN"/>
              </w:rPr>
            </w:pPr>
            <w:r>
              <w:rPr>
                <w:rFonts w:hint="default" w:eastAsia="仿宋_GB2312"/>
                <w:b/>
                <w:bCs/>
                <w:kern w:val="0"/>
                <w:szCs w:val="21"/>
              </w:rPr>
              <w:t>责任单位：</w:t>
            </w:r>
            <w:r>
              <w:rPr>
                <w:rFonts w:hint="default" w:eastAsia="仿宋_GB2312"/>
                <w:kern w:val="0"/>
                <w:szCs w:val="21"/>
              </w:rPr>
              <w:t>福州、厦门、莆田市委和市政府，省发改委</w:t>
            </w:r>
          </w:p>
          <w:p>
            <w:pPr>
              <w:widowControl/>
              <w:spacing w:line="22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2020年底前</w:t>
            </w:r>
          </w:p>
          <w:p>
            <w:pPr>
              <w:widowControl/>
              <w:spacing w:line="22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坚持绿色发展理念，调整优化能源结构，强化单位产品能耗标准、绿色建筑标准等约束，大力发展绿色低碳产业，实现“十三五”能耗总量和强度控制目标。</w:t>
            </w:r>
          </w:p>
        </w:tc>
        <w:tc>
          <w:tcPr>
            <w:tcW w:w="7020" w:type="dxa"/>
            <w:tcBorders>
              <w:top w:val="single" w:color="auto" w:sz="4" w:space="0"/>
              <w:left w:val="nil"/>
              <w:bottom w:val="single" w:color="auto" w:sz="4" w:space="0"/>
              <w:right w:val="single" w:color="auto" w:sz="4" w:space="0"/>
            </w:tcBorders>
            <w:shd w:val="clear" w:color="auto" w:fill="auto"/>
            <w:noWrap w:val="0"/>
            <w:vAlign w:val="top"/>
          </w:tcPr>
          <w:p>
            <w:pPr>
              <w:widowControl/>
              <w:spacing w:line="240" w:lineRule="exact"/>
              <w:ind w:firstLine="420" w:firstLineChars="200"/>
              <w:rPr>
                <w:rFonts w:eastAsia="仿宋_GB2312"/>
                <w:kern w:val="0"/>
                <w:szCs w:val="21"/>
              </w:rPr>
            </w:pPr>
            <w:r>
              <w:rPr>
                <w:rFonts w:hint="default" w:eastAsia="仿宋_GB2312"/>
                <w:kern w:val="0"/>
                <w:szCs w:val="21"/>
              </w:rPr>
              <w:t>1.福州市、厦门市、莆田市严格按照“十三五”能耗总量和强度控制目标限额，继续严控项目审批。</w:t>
            </w:r>
          </w:p>
          <w:p>
            <w:pPr>
              <w:widowControl/>
              <w:spacing w:line="240" w:lineRule="exact"/>
              <w:ind w:firstLine="420" w:firstLineChars="200"/>
              <w:rPr>
                <w:rFonts w:eastAsia="仿宋_GB2312"/>
                <w:kern w:val="0"/>
                <w:szCs w:val="21"/>
              </w:rPr>
            </w:pPr>
            <w:r>
              <w:rPr>
                <w:rFonts w:hint="default" w:eastAsia="仿宋_GB2312"/>
                <w:kern w:val="0"/>
                <w:szCs w:val="21"/>
              </w:rPr>
              <w:t>2.省工信厅会同有关部门约谈未完成年度能耗总量控制目标的设区市。</w:t>
            </w:r>
          </w:p>
          <w:p>
            <w:pPr>
              <w:widowControl/>
              <w:spacing w:line="240" w:lineRule="exact"/>
              <w:ind w:firstLine="420" w:firstLineChars="200"/>
              <w:rPr>
                <w:rFonts w:eastAsia="仿宋_GB2312"/>
                <w:kern w:val="0"/>
                <w:szCs w:val="21"/>
              </w:rPr>
            </w:pPr>
            <w:r>
              <w:rPr>
                <w:rFonts w:hint="default" w:eastAsia="仿宋_GB2312"/>
                <w:kern w:val="0"/>
                <w:szCs w:val="21"/>
              </w:rPr>
              <w:t>3.省发改委指导督促各级发改部门严格落实固定资产投资项目核准备案及节能审查；省工信厅指导督促各级工信部门严格落实技改项目节能审查，联合省统计局按季度、年度向各地及省直有关部门通报能耗“双控”指标完成情况。</w:t>
            </w:r>
          </w:p>
          <w:p>
            <w:pPr>
              <w:widowControl/>
              <w:spacing w:line="240" w:lineRule="exact"/>
              <w:ind w:firstLine="420" w:firstLineChars="200"/>
              <w:rPr>
                <w:rFonts w:eastAsia="仿宋_GB2312"/>
                <w:kern w:val="0"/>
                <w:szCs w:val="21"/>
              </w:rPr>
            </w:pPr>
            <w:r>
              <w:rPr>
                <w:rFonts w:hint="default" w:eastAsia="仿宋_GB2312"/>
                <w:kern w:val="0"/>
                <w:szCs w:val="21"/>
              </w:rPr>
              <w:t>4.省发改委、工信厅根据各自职责，指导和督促各地落实国家及省有关节能工作要求,严把高耗能项目准入关；会同相关部门对未完成能耗“双控”指标任务地区的六大高耗能行业项目实行缓批限批。</w:t>
            </w:r>
          </w:p>
          <w:p>
            <w:pPr>
              <w:widowControl/>
              <w:spacing w:line="240" w:lineRule="exact"/>
              <w:ind w:firstLine="420" w:firstLineChars="200"/>
              <w:rPr>
                <w:rFonts w:hint="default" w:eastAsia="仿宋_GB2312"/>
                <w:kern w:val="0"/>
                <w:szCs w:val="21"/>
              </w:rPr>
            </w:pPr>
            <w:r>
              <w:rPr>
                <w:rFonts w:hint="default" w:eastAsia="仿宋_GB2312"/>
                <w:kern w:val="0"/>
                <w:szCs w:val="21"/>
              </w:rPr>
              <w:t>5.省发改委会同工信厅2020年底前进一步完善差别电价、阶梯电价和惩罚性电价政策，提高水泥、电解铝、钢铁等高耗能行业差别电价和阶梯电价的加价标准。</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eastAsia="仿宋_GB2312"/>
                <w:spacing w:val="-8"/>
                <w:kern w:val="0"/>
                <w:szCs w:val="21"/>
              </w:rPr>
            </w:pPr>
            <w:r>
              <w:rPr>
                <w:rFonts w:hint="default" w:eastAsia="仿宋_GB2312"/>
                <w:spacing w:val="-8"/>
                <w:kern w:val="0"/>
                <w:szCs w:val="21"/>
              </w:rPr>
              <w:t>经济服务办</w:t>
            </w:r>
          </w:p>
        </w:tc>
      </w:tr>
      <w:tr>
        <w:tblPrEx>
          <w:tblCellMar>
            <w:top w:w="0" w:type="dxa"/>
            <w:left w:w="108" w:type="dxa"/>
            <w:bottom w:w="0" w:type="dxa"/>
            <w:right w:w="108" w:type="dxa"/>
          </w:tblCellMar>
        </w:tblPrEx>
        <w:trPr>
          <w:trHeight w:val="419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default" w:eastAsia="仿宋_GB2312"/>
                <w:kern w:val="0"/>
                <w:szCs w:val="21"/>
              </w:rPr>
            </w:pPr>
            <w:r>
              <w:rPr>
                <w:rFonts w:hint="default" w:eastAsia="仿宋_GB2312"/>
                <w:kern w:val="0"/>
                <w:szCs w:val="21"/>
              </w:rPr>
              <w:t>11</w:t>
            </w:r>
          </w:p>
        </w:tc>
        <w:tc>
          <w:tcPr>
            <w:tcW w:w="4725" w:type="dxa"/>
            <w:tcBorders>
              <w:top w:val="nil"/>
              <w:left w:val="nil"/>
              <w:bottom w:val="single" w:color="auto" w:sz="4" w:space="0"/>
              <w:right w:val="single" w:color="auto" w:sz="4" w:space="0"/>
            </w:tcBorders>
            <w:shd w:val="clear" w:color="auto" w:fill="auto"/>
            <w:noWrap w:val="0"/>
            <w:vAlign w:val="top"/>
          </w:tcPr>
          <w:p>
            <w:pPr>
              <w:widowControl/>
              <w:spacing w:line="220" w:lineRule="exact"/>
              <w:rPr>
                <w:rFonts w:hint="eastAsia" w:eastAsia="仿宋_GB2312"/>
                <w:kern w:val="0"/>
                <w:szCs w:val="21"/>
                <w:lang w:eastAsia="zh-CN"/>
              </w:rPr>
            </w:pPr>
            <w:r>
              <w:rPr>
                <w:rFonts w:hint="default" w:eastAsia="仿宋_GB2312"/>
                <w:b/>
                <w:bCs/>
                <w:kern w:val="0"/>
                <w:szCs w:val="21"/>
              </w:rPr>
              <w:t>问题八：</w:t>
            </w:r>
            <w:r>
              <w:rPr>
                <w:rFonts w:hint="default" w:eastAsia="仿宋_GB2312"/>
                <w:kern w:val="0"/>
                <w:szCs w:val="21"/>
              </w:rPr>
              <w:t>动真碰硬不够。2012年省政府印发《关于加强重点水产养殖水域长效管理工作的意见》，要求各地在2012年年底前对重点水域符合养殖规划的水产养殖完成登记发证工作；对不符合养殖规划的养殖生产设施，要依法予以拆除。但一些地方以相关利益错综复杂为由，议而不决、决而不行，不想触及矛盾、不愿担当作为、不敢动真碰硬，导致这项政策长期得不到有效执行。截至此次督察时，全省水产养殖证发放不到应发数量的一半，其中漳州市不到20%，泉州市只有12.8%。</w:t>
            </w:r>
          </w:p>
          <w:p>
            <w:pPr>
              <w:widowControl/>
              <w:spacing w:line="22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省海洋渔业局</w:t>
            </w:r>
          </w:p>
          <w:p>
            <w:pPr>
              <w:widowControl/>
              <w:spacing w:line="220" w:lineRule="exact"/>
              <w:rPr>
                <w:rFonts w:hint="eastAsia" w:eastAsia="仿宋_GB2312"/>
                <w:kern w:val="0"/>
                <w:szCs w:val="21"/>
                <w:lang w:eastAsia="zh-CN"/>
              </w:rPr>
            </w:pPr>
            <w:r>
              <w:rPr>
                <w:rFonts w:hint="default" w:eastAsia="仿宋_GB2312"/>
                <w:b/>
                <w:bCs/>
                <w:kern w:val="0"/>
                <w:szCs w:val="21"/>
              </w:rPr>
              <w:t>责任单位：</w:t>
            </w:r>
            <w:r>
              <w:rPr>
                <w:rFonts w:hint="default" w:eastAsia="仿宋_GB2312"/>
                <w:kern w:val="0"/>
                <w:szCs w:val="21"/>
              </w:rPr>
              <w:t>各设区市党委和政府，平潭综合实验区党工委和管委会</w:t>
            </w:r>
          </w:p>
          <w:p>
            <w:pPr>
              <w:widowControl/>
              <w:spacing w:line="22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2020年底前</w:t>
            </w:r>
          </w:p>
          <w:p>
            <w:pPr>
              <w:widowControl/>
              <w:spacing w:line="22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坚决扛起督察整改的政治责任，主动担当作为、敢于动真碰硬，做到守土有责、守土负责、守土尽责，确保养殖水域滩涂规划制度全面落实，不符合规划的水域滩涂养殖生产设施依法拆除，实现绿色养殖。</w:t>
            </w:r>
          </w:p>
        </w:tc>
        <w:tc>
          <w:tcPr>
            <w:tcW w:w="7020" w:type="dxa"/>
            <w:tcBorders>
              <w:top w:val="nil"/>
              <w:left w:val="nil"/>
              <w:bottom w:val="single" w:color="auto" w:sz="4" w:space="0"/>
              <w:right w:val="single" w:color="auto" w:sz="4" w:space="0"/>
            </w:tcBorders>
            <w:shd w:val="clear" w:color="auto" w:fill="auto"/>
            <w:noWrap w:val="0"/>
            <w:vAlign w:val="top"/>
          </w:tcPr>
          <w:p>
            <w:pPr>
              <w:widowControl/>
              <w:spacing w:line="240" w:lineRule="exact"/>
              <w:ind w:firstLine="420" w:firstLineChars="200"/>
              <w:rPr>
                <w:rFonts w:eastAsia="仿宋_GB2312"/>
                <w:kern w:val="0"/>
                <w:szCs w:val="21"/>
              </w:rPr>
            </w:pPr>
            <w:r>
              <w:rPr>
                <w:rFonts w:hint="default" w:eastAsia="仿宋_GB2312"/>
                <w:kern w:val="0"/>
                <w:szCs w:val="21"/>
              </w:rPr>
              <w:t>1.省海洋渔业局指导督促各地于2020年底前依法依规完成符合规划的水域滩涂养殖登记发证工作和不符合规划的水域滩涂养殖生产设施拆除。</w:t>
            </w:r>
          </w:p>
          <w:p>
            <w:pPr>
              <w:widowControl/>
              <w:spacing w:line="240" w:lineRule="exact"/>
              <w:ind w:firstLine="420" w:firstLineChars="200"/>
              <w:rPr>
                <w:rFonts w:eastAsia="仿宋_GB2312"/>
                <w:kern w:val="0"/>
                <w:szCs w:val="21"/>
              </w:rPr>
            </w:pPr>
            <w:r>
              <w:rPr>
                <w:rFonts w:hint="default" w:eastAsia="仿宋_GB2312"/>
                <w:kern w:val="0"/>
                <w:szCs w:val="21"/>
              </w:rPr>
              <w:t>2.各相关设区市、平潭综合实验区严格落实养殖水域滩涂规划制度，2020年6月底前全面核查辖区内水产养殖面积、应发证养殖面积、已发证养殖面积、发证率等情况。漳州、泉州市加快推进海水养殖应发证海区养殖证发放工作；厦门市尽快完成海水养殖清退；平潭综合实验区加快禁养区清退和限养区调整，并按期完成养殖证发放。</w:t>
            </w:r>
          </w:p>
          <w:p>
            <w:pPr>
              <w:widowControl/>
              <w:spacing w:line="240" w:lineRule="exact"/>
              <w:ind w:firstLine="420" w:firstLineChars="200"/>
              <w:rPr>
                <w:rFonts w:eastAsia="仿宋_GB2312"/>
                <w:kern w:val="0"/>
                <w:szCs w:val="21"/>
              </w:rPr>
            </w:pPr>
            <w:r>
              <w:rPr>
                <w:rFonts w:hint="default" w:eastAsia="仿宋_GB2312"/>
                <w:kern w:val="0"/>
                <w:szCs w:val="21"/>
              </w:rPr>
              <w:t>3.2020年底前，省海洋渔业局组织全省各地开展依法持证养殖的监督检查，对不符合规划的养殖行为，依法依规处理。同时，加强对养殖规划禁养区水域巡查，防止出现新增、回流、迁移等反弹现象，巩固整治清退成效。</w:t>
            </w:r>
          </w:p>
          <w:p>
            <w:pPr>
              <w:widowControl/>
              <w:spacing w:line="240" w:lineRule="exact"/>
              <w:ind w:firstLine="420" w:firstLineChars="200"/>
              <w:rPr>
                <w:rFonts w:hint="default" w:eastAsia="仿宋_GB2312"/>
                <w:kern w:val="0"/>
                <w:szCs w:val="21"/>
              </w:rPr>
            </w:pPr>
            <w:r>
              <w:rPr>
                <w:rFonts w:hint="default" w:eastAsia="仿宋_GB2312"/>
                <w:kern w:val="0"/>
                <w:szCs w:val="21"/>
              </w:rPr>
              <w:t>4.省海洋渔业局每月调度各设区市、平潭综合实验区水域滩涂养殖证发放工作进度，对工作不落实、进展缓慢、不敢动真碰硬的地区，采取通报批评、约谈、督办等措施，强化责任担当，确保水产养殖绿色发展规划得到有效落实。</w:t>
            </w:r>
          </w:p>
        </w:tc>
        <w:tc>
          <w:tcPr>
            <w:tcW w:w="126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eastAsia="仿宋_GB2312"/>
                <w:spacing w:val="-8"/>
                <w:kern w:val="0"/>
                <w:szCs w:val="21"/>
              </w:rPr>
            </w:pPr>
            <w:r>
              <w:rPr>
                <w:rFonts w:hint="default" w:eastAsia="仿宋_GB2312"/>
                <w:spacing w:val="-8"/>
                <w:kern w:val="0"/>
                <w:szCs w:val="21"/>
              </w:rPr>
              <w:t>社区建设办（农口）</w:t>
            </w:r>
          </w:p>
        </w:tc>
      </w:tr>
      <w:tr>
        <w:tblPrEx>
          <w:tblCellMar>
            <w:top w:w="0" w:type="dxa"/>
            <w:left w:w="108" w:type="dxa"/>
            <w:bottom w:w="0" w:type="dxa"/>
            <w:right w:w="108" w:type="dxa"/>
          </w:tblCellMar>
        </w:tblPrEx>
        <w:trPr>
          <w:trHeight w:val="5580"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default" w:eastAsia="仿宋_GB2312"/>
                <w:kern w:val="0"/>
                <w:szCs w:val="21"/>
              </w:rPr>
            </w:pPr>
            <w:r>
              <w:rPr>
                <w:rFonts w:hint="default" w:eastAsia="仿宋_GB2312"/>
                <w:kern w:val="0"/>
                <w:szCs w:val="21"/>
              </w:rPr>
              <w:t>12</w:t>
            </w:r>
          </w:p>
        </w:tc>
        <w:tc>
          <w:tcPr>
            <w:tcW w:w="4725" w:type="dxa"/>
            <w:tcBorders>
              <w:top w:val="single" w:color="auto" w:sz="4" w:space="0"/>
              <w:left w:val="nil"/>
              <w:bottom w:val="single" w:color="auto" w:sz="4" w:space="0"/>
              <w:right w:val="single" w:color="auto" w:sz="4" w:space="0"/>
            </w:tcBorders>
            <w:shd w:val="clear" w:color="auto" w:fill="auto"/>
            <w:noWrap w:val="0"/>
            <w:vAlign w:val="top"/>
          </w:tcPr>
          <w:p>
            <w:pPr>
              <w:widowControl/>
              <w:spacing w:line="260" w:lineRule="exact"/>
              <w:rPr>
                <w:rFonts w:hint="eastAsia" w:eastAsia="仿宋_GB2312"/>
                <w:kern w:val="0"/>
                <w:szCs w:val="21"/>
                <w:lang w:eastAsia="zh-CN"/>
              </w:rPr>
            </w:pPr>
            <w:r>
              <w:rPr>
                <w:rFonts w:hint="default" w:eastAsia="仿宋_GB2312"/>
                <w:b/>
                <w:bCs/>
                <w:kern w:val="0"/>
                <w:szCs w:val="21"/>
              </w:rPr>
              <w:t>海洋三：</w:t>
            </w:r>
            <w:r>
              <w:rPr>
                <w:rFonts w:hint="default" w:eastAsia="仿宋_GB2312"/>
                <w:kern w:val="0"/>
                <w:szCs w:val="21"/>
              </w:rPr>
              <w:t>近岸海域污染防治不到位。</w:t>
            </w:r>
          </w:p>
          <w:p>
            <w:pPr>
              <w:widowControl/>
              <w:spacing w:line="260" w:lineRule="exact"/>
              <w:rPr>
                <w:rFonts w:hint="eastAsia" w:eastAsia="仿宋_GB2312"/>
                <w:kern w:val="0"/>
                <w:szCs w:val="21"/>
                <w:lang w:eastAsia="zh-CN"/>
              </w:rPr>
            </w:pPr>
            <w:r>
              <w:rPr>
                <w:rFonts w:hint="default" w:eastAsia="仿宋_GB2312"/>
                <w:b/>
                <w:bCs/>
                <w:kern w:val="0"/>
                <w:szCs w:val="21"/>
              </w:rPr>
              <w:t>省直牵头单位</w:t>
            </w:r>
            <w:r>
              <w:rPr>
                <w:rFonts w:hint="default" w:eastAsia="仿宋_GB2312"/>
                <w:kern w:val="0"/>
                <w:szCs w:val="21"/>
              </w:rPr>
              <w:t>：省生态环境厅</w:t>
            </w:r>
          </w:p>
          <w:p>
            <w:pPr>
              <w:widowControl/>
              <w:spacing w:line="260" w:lineRule="exact"/>
              <w:rPr>
                <w:rFonts w:hint="eastAsia" w:eastAsia="仿宋_GB2312"/>
                <w:kern w:val="0"/>
                <w:szCs w:val="21"/>
                <w:lang w:eastAsia="zh-CN"/>
              </w:rPr>
            </w:pPr>
            <w:r>
              <w:rPr>
                <w:rFonts w:hint="default" w:eastAsia="仿宋_GB2312"/>
                <w:b/>
                <w:bCs/>
                <w:kern w:val="0"/>
                <w:szCs w:val="21"/>
              </w:rPr>
              <w:t>整改时限：</w:t>
            </w:r>
            <w:r>
              <w:rPr>
                <w:rFonts w:hint="default" w:eastAsia="仿宋_GB2312"/>
                <w:kern w:val="0"/>
                <w:szCs w:val="21"/>
              </w:rPr>
              <w:t>立行立改、长期坚持</w:t>
            </w:r>
          </w:p>
          <w:p>
            <w:pPr>
              <w:widowControl/>
              <w:spacing w:line="260" w:lineRule="exact"/>
              <w:rPr>
                <w:rFonts w:hint="default" w:eastAsia="仿宋_GB2312"/>
                <w:b/>
                <w:bCs/>
                <w:kern w:val="0"/>
                <w:szCs w:val="21"/>
              </w:rPr>
            </w:pPr>
            <w:r>
              <w:rPr>
                <w:rFonts w:hint="default" w:eastAsia="仿宋_GB2312"/>
                <w:b/>
                <w:bCs/>
                <w:kern w:val="0"/>
                <w:szCs w:val="21"/>
              </w:rPr>
              <w:t>整改目标：</w:t>
            </w:r>
            <w:r>
              <w:rPr>
                <w:rFonts w:hint="default" w:eastAsia="仿宋_GB2312"/>
                <w:kern w:val="0"/>
                <w:szCs w:val="21"/>
              </w:rPr>
              <w:t>坚持开发和保护并重、污染防治和生态修复并举，加强陆海统筹，从源头上有效控制陆源污染物入海排放，持续改善近岸海域生态环境质量。2020年全省近岸海域海水优良比例达到72%以上；纳入《福建省水污染防治行动计划工作方案》的入海河流达到水质目标要求，纳入考核管理的入海小流域消除劣Ⅴ类水体；进一步强化入海污染源排查整治，促进海湾水质提升。</w:t>
            </w:r>
          </w:p>
        </w:tc>
        <w:tc>
          <w:tcPr>
            <w:tcW w:w="7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ind w:firstLine="420" w:firstLineChars="200"/>
              <w:jc w:val="left"/>
              <w:rPr>
                <w:rFonts w:eastAsia="仿宋_GB2312"/>
                <w:kern w:val="0"/>
                <w:szCs w:val="21"/>
              </w:rPr>
            </w:pPr>
            <w:r>
              <w:rPr>
                <w:rFonts w:hint="default" w:eastAsia="仿宋_GB2312"/>
                <w:kern w:val="0"/>
                <w:szCs w:val="21"/>
              </w:rPr>
              <w:t>1.沿海各设区市和平潭综合实验区把海洋生态文明建设纳入海洋开发总体布局，把海洋生态环境保护摆在重中之重位置，认真落实海洋生态环境保护主体责任。社区建设办（环保）</w:t>
            </w:r>
          </w:p>
          <w:p>
            <w:pPr>
              <w:widowControl/>
              <w:spacing w:line="260" w:lineRule="exact"/>
              <w:ind w:firstLine="420" w:firstLineChars="200"/>
              <w:jc w:val="left"/>
              <w:rPr>
                <w:rFonts w:eastAsia="仿宋_GB2312"/>
                <w:kern w:val="0"/>
                <w:szCs w:val="21"/>
              </w:rPr>
            </w:pPr>
            <w:r>
              <w:rPr>
                <w:rFonts w:hint="default" w:eastAsia="仿宋_GB2312"/>
                <w:kern w:val="0"/>
                <w:szCs w:val="21"/>
              </w:rPr>
              <w:t>2.沿海各设区市和平潭综合实验区2020年全面排查摸清入海河流、入海排污口和其他入海排口的底数，建立完善档案清单，2021年起开展分类整治和规范化管理。社区建设办（河长）</w:t>
            </w:r>
          </w:p>
          <w:p>
            <w:pPr>
              <w:widowControl/>
              <w:spacing w:line="260" w:lineRule="exact"/>
              <w:ind w:firstLine="420" w:firstLineChars="200"/>
              <w:jc w:val="left"/>
              <w:rPr>
                <w:rFonts w:eastAsia="仿宋_GB2312"/>
                <w:kern w:val="0"/>
                <w:szCs w:val="21"/>
              </w:rPr>
            </w:pPr>
            <w:r>
              <w:rPr>
                <w:rFonts w:hint="default" w:eastAsia="仿宋_GB2312"/>
                <w:kern w:val="0"/>
                <w:szCs w:val="21"/>
              </w:rPr>
              <w:t>3.2020年底前省商务厅指导督促沿海开发区污水处理设施具备脱氮除磷工艺，并安装联网在线监控装置。2020年底前省生态环境厅指导督促沿海各地对长期无法稳定达标的排污口，制定实施专项整治方案。社区建设办（河长）</w:t>
            </w:r>
          </w:p>
          <w:p>
            <w:pPr>
              <w:widowControl/>
              <w:spacing w:line="260" w:lineRule="exact"/>
              <w:ind w:firstLine="420" w:firstLineChars="200"/>
              <w:jc w:val="left"/>
              <w:rPr>
                <w:rFonts w:eastAsia="仿宋_GB2312"/>
                <w:kern w:val="0"/>
                <w:szCs w:val="21"/>
              </w:rPr>
            </w:pPr>
            <w:r>
              <w:rPr>
                <w:rFonts w:hint="default" w:eastAsia="仿宋_GB2312"/>
                <w:kern w:val="0"/>
                <w:szCs w:val="21"/>
              </w:rPr>
              <w:t>4.2020年底全省11条主要入海河流达到《福建省水污染防治行动计划》规定的水质目标要求，纳入小流域考核的25条入海小溪流消除劣Ⅴ类水体。社区建设办（河长）</w:t>
            </w:r>
          </w:p>
          <w:p>
            <w:pPr>
              <w:widowControl/>
              <w:spacing w:line="260" w:lineRule="exact"/>
              <w:ind w:firstLine="420" w:firstLineChars="200"/>
              <w:jc w:val="left"/>
              <w:rPr>
                <w:rFonts w:eastAsia="仿宋_GB2312"/>
                <w:kern w:val="0"/>
                <w:szCs w:val="21"/>
              </w:rPr>
            </w:pPr>
            <w:r>
              <w:rPr>
                <w:rFonts w:hint="default" w:eastAsia="仿宋_GB2312"/>
                <w:kern w:val="0"/>
                <w:szCs w:val="21"/>
              </w:rPr>
              <w:t>5.省水利厅、生态环境厅会同相关部门指导督促沿海各设区市和平潭综合实验区2020年底前进一步排查核实入海排洪沟渠、排涝站数量，建立台账清单并加强监管，防止城镇、农村各类污水利用排洪排涝设施排入近岸海域。社区建设办（河长）</w:t>
            </w:r>
          </w:p>
          <w:p>
            <w:pPr>
              <w:widowControl/>
              <w:spacing w:line="260" w:lineRule="exact"/>
              <w:ind w:firstLine="420" w:firstLineChars="200"/>
              <w:jc w:val="left"/>
              <w:rPr>
                <w:rFonts w:eastAsia="仿宋_GB2312"/>
                <w:kern w:val="0"/>
                <w:szCs w:val="21"/>
              </w:rPr>
            </w:pPr>
            <w:r>
              <w:rPr>
                <w:rFonts w:hint="default" w:eastAsia="仿宋_GB2312"/>
                <w:kern w:val="0"/>
                <w:szCs w:val="21"/>
              </w:rPr>
              <w:t>6.省海洋渔业局督促指导沿海各设区市和平潭综合实验区严格落实养殖水域滩涂规划制度，推进水产养殖业绿色发展，2020年底完成不符合规划养殖清退任务。社区建设办（农口）</w:t>
            </w:r>
          </w:p>
          <w:p>
            <w:pPr>
              <w:widowControl/>
              <w:spacing w:line="260" w:lineRule="exact"/>
              <w:ind w:firstLine="420" w:firstLineChars="200"/>
              <w:jc w:val="left"/>
              <w:rPr>
                <w:rFonts w:eastAsia="仿宋_GB2312"/>
                <w:kern w:val="0"/>
                <w:szCs w:val="21"/>
              </w:rPr>
            </w:pPr>
            <w:r>
              <w:rPr>
                <w:rFonts w:hint="default" w:eastAsia="仿宋_GB2312"/>
                <w:kern w:val="0"/>
                <w:szCs w:val="21"/>
              </w:rPr>
              <w:t>7.2020年底前，宁德、福州、莆田、厦门、漳州市针对三都澳、兴化湾、同安湾、诏安湾水质下降问题制定专项整改方案，开展生态保护和修复，一湾一策实施水质提升工程。社区建设办（河长）</w:t>
            </w:r>
          </w:p>
          <w:p>
            <w:pPr>
              <w:widowControl/>
              <w:spacing w:line="260" w:lineRule="exact"/>
              <w:ind w:firstLine="420" w:firstLineChars="200"/>
              <w:jc w:val="left"/>
              <w:rPr>
                <w:rFonts w:hint="default" w:eastAsia="仿宋_GB2312"/>
                <w:kern w:val="0"/>
                <w:szCs w:val="21"/>
              </w:rPr>
            </w:pPr>
            <w:r>
              <w:rPr>
                <w:rFonts w:hint="default" w:eastAsia="仿宋_GB2312"/>
                <w:kern w:val="0"/>
                <w:szCs w:val="21"/>
              </w:rPr>
              <w:t>8.加大执法监管力度，持续开展突出生态环境问题专项排查整治，组织海洋渔业、生态环境、海警、海事等执法机构加强岸线和海上巡查，开展联合执法和“碧海”专项执法行动，实行挂账销号，依法打击各类涉海违法行为。综合执法办</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hint="eastAsia" w:eastAsia="仿宋_GB2312"/>
                <w:spacing w:val="-8"/>
                <w:kern w:val="0"/>
                <w:szCs w:val="21"/>
                <w:lang w:eastAsia="zh-CN"/>
              </w:rPr>
            </w:pPr>
          </w:p>
          <w:p>
            <w:pPr>
              <w:widowControl/>
              <w:spacing w:line="260" w:lineRule="exact"/>
              <w:jc w:val="center"/>
              <w:rPr>
                <w:rFonts w:hint="eastAsia" w:eastAsia="仿宋_GB2312"/>
                <w:spacing w:val="-8"/>
                <w:kern w:val="0"/>
                <w:szCs w:val="21"/>
                <w:lang w:eastAsia="zh-CN"/>
              </w:rPr>
            </w:pPr>
            <w:r>
              <w:rPr>
                <w:rFonts w:hint="default" w:eastAsia="仿宋_GB2312"/>
                <w:spacing w:val="-8"/>
                <w:kern w:val="0"/>
                <w:szCs w:val="21"/>
              </w:rPr>
              <w:t>社区建设办（环保、农口、河长）</w:t>
            </w:r>
          </w:p>
          <w:p>
            <w:pPr>
              <w:widowControl/>
              <w:spacing w:line="260" w:lineRule="exact"/>
              <w:jc w:val="center"/>
              <w:rPr>
                <w:rFonts w:hint="default" w:eastAsia="仿宋_GB2312"/>
                <w:spacing w:val="-8"/>
                <w:kern w:val="0"/>
                <w:szCs w:val="21"/>
              </w:rPr>
            </w:pPr>
            <w:r>
              <w:rPr>
                <w:rFonts w:hint="default" w:eastAsia="仿宋_GB2312"/>
                <w:spacing w:val="-8"/>
                <w:kern w:val="0"/>
                <w:szCs w:val="21"/>
              </w:rPr>
              <w:t>综合执法办</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MGE1ODg4NzE2MjQ2MmQ1M2Q2YmIzYjEyMWJiMjMifQ=="/>
  </w:docVars>
  <w:rsids>
    <w:rsidRoot w:val="02D86C30"/>
    <w:rsid w:val="02D86C30"/>
    <w:rsid w:val="0FE71483"/>
    <w:rsid w:val="54F3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1.正文"/>
    <w:basedOn w:val="1"/>
    <w:qFormat/>
    <w:uiPriority w:val="0"/>
    <w:rPr>
      <w:rFonts w:hint="default" w:ascii="Calibr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翔安区新店镇人民政府</Company>
  <Pages>8</Pages>
  <Words>6554</Words>
  <Characters>6792</Characters>
  <Lines>0</Lines>
  <Paragraphs>0</Paragraphs>
  <TotalTime>3</TotalTime>
  <ScaleCrop>false</ScaleCrop>
  <LinksUpToDate>false</LinksUpToDate>
  <CharactersWithSpaces>6792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2022-09-21T09:50:00Z</dcterms:created>
  <dc:creator>Administrator</dc:creator>
  <cp:lastModifiedBy>cf</cp:lastModifiedBy>
  <dcterms:modified xsi:type="dcterms:W3CDTF">2023-06-21T07:49:45Z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4611E4D61ECF4F36BE0003C2A02D4689_12</vt:lpwstr>
  </property>
</Properties>
</file>