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jc w:val="center"/>
        <w:rPr>
          <w:rFonts w:hint="eastAsia" w:ascii="微软雅黑" w:hAnsi="微软雅黑" w:eastAsia="微软雅黑" w:cs="微软雅黑"/>
          <w:b/>
          <w:bCs/>
          <w:color w:val="000000"/>
          <w:kern w:val="0"/>
          <w:sz w:val="48"/>
          <w:szCs w:val="48"/>
          <w:lang w:val="en-US" w:eastAsia="zh-CN" w:bidi="ar"/>
        </w:rPr>
      </w:pPr>
      <w:r>
        <w:rPr>
          <w:rFonts w:ascii="微软雅黑" w:hAnsi="微软雅黑" w:eastAsia="微软雅黑" w:cs="微软雅黑"/>
          <w:b/>
          <w:bCs/>
          <w:color w:val="000000"/>
          <w:kern w:val="0"/>
          <w:sz w:val="48"/>
          <w:szCs w:val="48"/>
          <w:lang w:val="en-US" w:eastAsia="zh-CN" w:bidi="ar"/>
        </w:rPr>
        <w:t>厦门市</w:t>
      </w:r>
      <w:r>
        <w:rPr>
          <w:rFonts w:hint="eastAsia" w:ascii="微软雅黑" w:hAnsi="微软雅黑" w:eastAsia="微软雅黑" w:cs="微软雅黑"/>
          <w:b/>
          <w:bCs/>
          <w:color w:val="000000"/>
          <w:kern w:val="0"/>
          <w:sz w:val="48"/>
          <w:szCs w:val="48"/>
          <w:lang w:val="en-US" w:eastAsia="zh-CN" w:bidi="ar"/>
        </w:rPr>
        <w:t>翔安区</w:t>
      </w:r>
      <w:r>
        <w:rPr>
          <w:rFonts w:ascii="微软雅黑" w:hAnsi="微软雅黑" w:eastAsia="微软雅黑" w:cs="微软雅黑"/>
          <w:b/>
          <w:bCs/>
          <w:color w:val="000000"/>
          <w:kern w:val="0"/>
          <w:sz w:val="48"/>
          <w:szCs w:val="48"/>
          <w:lang w:val="en-US" w:eastAsia="zh-CN" w:bidi="ar"/>
        </w:rPr>
        <w:t>再生资源回收行业</w:t>
      </w:r>
      <w:r>
        <w:rPr>
          <w:rFonts w:hint="eastAsia" w:ascii="微软雅黑" w:hAnsi="微软雅黑" w:eastAsia="微软雅黑" w:cs="微软雅黑"/>
          <w:b/>
          <w:bCs/>
          <w:color w:val="000000"/>
          <w:kern w:val="0"/>
          <w:sz w:val="48"/>
          <w:szCs w:val="48"/>
          <w:lang w:val="en-US" w:eastAsia="zh-CN" w:bidi="ar"/>
        </w:rPr>
        <w:t>三年发展规划（2024-2026年）</w:t>
      </w:r>
    </w:p>
    <w:p>
      <w:pPr>
        <w:keepNext w:val="0"/>
        <w:keepLines w:val="0"/>
        <w:widowControl/>
        <w:suppressLineNumbers w:val="0"/>
        <w:jc w:val="left"/>
        <w:rPr>
          <w:sz w:val="48"/>
          <w:szCs w:val="48"/>
        </w:rPr>
      </w:pPr>
      <w:r>
        <w:rPr>
          <w:rFonts w:ascii="微软雅黑" w:hAnsi="微软雅黑" w:eastAsia="微软雅黑" w:cs="微软雅黑"/>
          <w:b/>
          <w:bCs/>
          <w:color w:val="000000"/>
          <w:kern w:val="0"/>
          <w:sz w:val="48"/>
          <w:szCs w:val="48"/>
          <w:lang w:val="en-US" w:eastAsia="zh-CN" w:bidi="ar"/>
        </w:rPr>
        <w:t xml:space="preserve"> </w:t>
      </w:r>
    </w:p>
    <w:p>
      <w:pPr>
        <w:keepNext w:val="0"/>
        <w:keepLines w:val="0"/>
        <w:widowControl/>
        <w:suppressLineNumbers w:val="0"/>
        <w:jc w:val="left"/>
        <w:rPr>
          <w:rFonts w:hint="eastAsia" w:ascii="微软雅黑" w:hAnsi="微软雅黑" w:eastAsia="微软雅黑" w:cs="微软雅黑"/>
          <w:b/>
          <w:bCs/>
          <w:color w:val="000000"/>
          <w:kern w:val="0"/>
          <w:sz w:val="48"/>
          <w:szCs w:val="48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hint="eastAsia" w:ascii="微软雅黑" w:hAnsi="微软雅黑" w:eastAsia="微软雅黑" w:cs="微软雅黑"/>
          <w:b/>
          <w:bCs/>
          <w:color w:val="000000"/>
          <w:kern w:val="0"/>
          <w:sz w:val="48"/>
          <w:szCs w:val="48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hint="eastAsia" w:ascii="微软雅黑" w:hAnsi="微软雅黑" w:eastAsia="微软雅黑" w:cs="微软雅黑"/>
          <w:b/>
          <w:bCs/>
          <w:color w:val="000000"/>
          <w:kern w:val="0"/>
          <w:sz w:val="48"/>
          <w:szCs w:val="48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hint="eastAsia" w:ascii="微软雅黑" w:hAnsi="微软雅黑" w:eastAsia="微软雅黑" w:cs="微软雅黑"/>
          <w:b/>
          <w:bCs/>
          <w:color w:val="000000"/>
          <w:kern w:val="0"/>
          <w:sz w:val="48"/>
          <w:szCs w:val="48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jc w:val="left"/>
        <w:rPr>
          <w:rFonts w:hint="eastAsia" w:ascii="微软雅黑" w:hAnsi="微软雅黑" w:eastAsia="微软雅黑" w:cs="微软雅黑"/>
          <w:b/>
          <w:bCs/>
          <w:color w:val="000000"/>
          <w:kern w:val="0"/>
          <w:sz w:val="48"/>
          <w:szCs w:val="48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ind w:firstLine="3100" w:firstLineChars="1000"/>
        <w:jc w:val="left"/>
        <w:rPr>
          <w:rFonts w:ascii="微软雅黑" w:hAnsi="微软雅黑" w:eastAsia="微软雅黑" w:cs="微软雅黑"/>
          <w:color w:val="000000"/>
          <w:kern w:val="0"/>
          <w:sz w:val="31"/>
          <w:szCs w:val="31"/>
          <w:lang w:val="en-US" w:eastAsia="zh-CN" w:bidi="ar"/>
        </w:rPr>
      </w:pPr>
      <w:r>
        <w:rPr>
          <w:rFonts w:ascii="微软雅黑" w:hAnsi="微软雅黑" w:eastAsia="微软雅黑" w:cs="微软雅黑"/>
          <w:color w:val="000000"/>
          <w:kern w:val="0"/>
          <w:sz w:val="31"/>
          <w:szCs w:val="31"/>
          <w:lang w:val="en-US" w:eastAsia="zh-CN" w:bidi="ar"/>
        </w:rPr>
        <w:t>202</w:t>
      </w:r>
      <w:r>
        <w:rPr>
          <w:rFonts w:hint="eastAsia" w:ascii="微软雅黑" w:hAnsi="微软雅黑" w:eastAsia="微软雅黑" w:cs="微软雅黑"/>
          <w:color w:val="000000"/>
          <w:kern w:val="0"/>
          <w:sz w:val="31"/>
          <w:szCs w:val="31"/>
          <w:lang w:val="en-US" w:eastAsia="zh-CN" w:bidi="ar"/>
        </w:rPr>
        <w:t>4</w:t>
      </w:r>
      <w:r>
        <w:rPr>
          <w:rFonts w:ascii="微软雅黑" w:hAnsi="微软雅黑" w:eastAsia="微软雅黑" w:cs="微软雅黑"/>
          <w:color w:val="000000"/>
          <w:kern w:val="0"/>
          <w:sz w:val="31"/>
          <w:szCs w:val="31"/>
          <w:lang w:val="en-US" w:eastAsia="zh-CN" w:bidi="ar"/>
        </w:rPr>
        <w:t>年</w:t>
      </w:r>
      <w:r>
        <w:rPr>
          <w:rFonts w:hint="eastAsia" w:ascii="微软雅黑" w:hAnsi="微软雅黑" w:eastAsia="微软雅黑" w:cs="微软雅黑"/>
          <w:color w:val="000000"/>
          <w:kern w:val="0"/>
          <w:sz w:val="31"/>
          <w:szCs w:val="31"/>
          <w:lang w:val="en-US" w:eastAsia="zh-CN" w:bidi="ar"/>
        </w:rPr>
        <w:t>4</w:t>
      </w:r>
      <w:r>
        <w:rPr>
          <w:rFonts w:ascii="微软雅黑" w:hAnsi="微软雅黑" w:eastAsia="微软雅黑" w:cs="微软雅黑"/>
          <w:color w:val="000000"/>
          <w:kern w:val="0"/>
          <w:sz w:val="31"/>
          <w:szCs w:val="31"/>
          <w:lang w:val="en-US" w:eastAsia="zh-CN" w:bidi="ar"/>
        </w:rPr>
        <w:t>月</w:t>
      </w:r>
    </w:p>
    <w:p>
      <w:pPr>
        <w:keepNext w:val="0"/>
        <w:keepLines w:val="0"/>
        <w:widowControl/>
        <w:suppressLineNumbers w:val="0"/>
        <w:ind w:firstLine="2170" w:firstLineChars="700"/>
        <w:jc w:val="left"/>
        <w:rPr>
          <w:rFonts w:ascii="微软雅黑" w:hAnsi="微软雅黑" w:eastAsia="微软雅黑" w:cs="微软雅黑"/>
          <w:color w:val="000000"/>
          <w:kern w:val="0"/>
          <w:sz w:val="31"/>
          <w:szCs w:val="31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ind w:firstLine="2170" w:firstLineChars="700"/>
        <w:jc w:val="left"/>
        <w:rPr>
          <w:rFonts w:ascii="微软雅黑" w:hAnsi="微软雅黑" w:eastAsia="微软雅黑" w:cs="微软雅黑"/>
          <w:color w:val="000000"/>
          <w:kern w:val="0"/>
          <w:sz w:val="31"/>
          <w:szCs w:val="31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ind w:firstLine="2170" w:firstLineChars="700"/>
        <w:jc w:val="left"/>
        <w:rPr>
          <w:rFonts w:ascii="微软雅黑" w:hAnsi="微软雅黑" w:eastAsia="微软雅黑" w:cs="微软雅黑"/>
          <w:color w:val="000000"/>
          <w:kern w:val="0"/>
          <w:sz w:val="31"/>
          <w:szCs w:val="31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ind w:firstLine="2170" w:firstLineChars="700"/>
        <w:jc w:val="left"/>
        <w:rPr>
          <w:rFonts w:ascii="微软雅黑" w:hAnsi="微软雅黑" w:eastAsia="微软雅黑" w:cs="微软雅黑"/>
          <w:color w:val="000000"/>
          <w:kern w:val="0"/>
          <w:sz w:val="31"/>
          <w:szCs w:val="31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ind w:firstLine="2170" w:firstLineChars="700"/>
        <w:jc w:val="left"/>
        <w:rPr>
          <w:rFonts w:ascii="微软雅黑" w:hAnsi="微软雅黑" w:eastAsia="微软雅黑" w:cs="微软雅黑"/>
          <w:color w:val="000000"/>
          <w:kern w:val="0"/>
          <w:sz w:val="31"/>
          <w:szCs w:val="31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ind w:firstLine="2170" w:firstLineChars="700"/>
        <w:jc w:val="left"/>
        <w:rPr>
          <w:rFonts w:ascii="微软雅黑" w:hAnsi="微软雅黑" w:eastAsia="微软雅黑" w:cs="微软雅黑"/>
          <w:color w:val="000000"/>
          <w:kern w:val="0"/>
          <w:sz w:val="31"/>
          <w:szCs w:val="31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ind w:firstLine="2170" w:firstLineChars="700"/>
        <w:jc w:val="left"/>
        <w:rPr>
          <w:rFonts w:ascii="微软雅黑" w:hAnsi="微软雅黑" w:eastAsia="微软雅黑" w:cs="微软雅黑"/>
          <w:color w:val="000000"/>
          <w:kern w:val="0"/>
          <w:sz w:val="31"/>
          <w:szCs w:val="31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ind w:firstLine="2170" w:firstLineChars="700"/>
        <w:jc w:val="left"/>
        <w:rPr>
          <w:rFonts w:ascii="微软雅黑" w:hAnsi="微软雅黑" w:eastAsia="微软雅黑" w:cs="微软雅黑"/>
          <w:color w:val="000000"/>
          <w:kern w:val="0"/>
          <w:sz w:val="31"/>
          <w:szCs w:val="31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ind w:firstLine="2170" w:firstLineChars="700"/>
        <w:jc w:val="left"/>
        <w:rPr>
          <w:rFonts w:ascii="微软雅黑" w:hAnsi="微软雅黑" w:eastAsia="微软雅黑" w:cs="微软雅黑"/>
          <w:color w:val="000000"/>
          <w:kern w:val="0"/>
          <w:sz w:val="31"/>
          <w:szCs w:val="31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ind w:firstLine="2170" w:firstLineChars="700"/>
        <w:jc w:val="left"/>
        <w:rPr>
          <w:rFonts w:ascii="微软雅黑" w:hAnsi="微软雅黑" w:eastAsia="微软雅黑" w:cs="微软雅黑"/>
          <w:color w:val="000000"/>
          <w:kern w:val="0"/>
          <w:sz w:val="31"/>
          <w:szCs w:val="31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ind w:firstLine="3011" w:firstLineChars="700"/>
        <w:jc w:val="left"/>
      </w:pPr>
      <w:r>
        <w:rPr>
          <w:rFonts w:ascii="微软雅黑" w:hAnsi="微软雅黑" w:eastAsia="微软雅黑" w:cs="微软雅黑"/>
          <w:b/>
          <w:bCs/>
          <w:color w:val="000000"/>
          <w:kern w:val="0"/>
          <w:sz w:val="43"/>
          <w:szCs w:val="43"/>
          <w:lang w:val="en-US" w:eastAsia="zh-CN" w:bidi="ar"/>
        </w:rPr>
        <w:t>目 录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ascii="仿宋" w:hAnsi="仿宋" w:eastAsia="仿宋" w:cs="仿宋"/>
          <w:b/>
          <w:bCs/>
          <w:color w:val="000000"/>
          <w:kern w:val="0"/>
          <w:sz w:val="31"/>
          <w:szCs w:val="31"/>
          <w:lang w:val="en-US" w:eastAsia="zh-CN" w:bidi="ar"/>
        </w:rPr>
        <w:t xml:space="preserve">一、总 则 </w:t>
      </w: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.....................................（）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（一）规划背景.................................（）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（二）规划编制依据.............................（）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（三）编制范围与对象...........................（）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（四）规划期限.................................（）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b/>
          <w:bCs/>
          <w:color w:val="000000"/>
          <w:kern w:val="0"/>
          <w:sz w:val="31"/>
          <w:szCs w:val="31"/>
          <w:lang w:val="en-US" w:eastAsia="zh-CN" w:bidi="ar"/>
        </w:rPr>
        <w:t>二、总体要求</w:t>
      </w: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...................................（）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（一）指导思想.................................（）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（二）基本原则.................................（）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（三）发展目标.................................（）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b/>
          <w:bCs/>
          <w:color w:val="000000"/>
          <w:kern w:val="0"/>
          <w:sz w:val="31"/>
          <w:szCs w:val="31"/>
          <w:lang w:val="en-US" w:eastAsia="zh-CN" w:bidi="ar"/>
        </w:rPr>
        <w:t>三、网点规划</w:t>
      </w: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...................................（）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（一）回收站点.................................（）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（二）分拣中心.................................（） </w:t>
      </w:r>
    </w:p>
    <w:p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</w:pPr>
      <w:r>
        <w:rPr>
          <w:rFonts w:hint="eastAsia" w:ascii="仿宋" w:hAnsi="仿宋" w:eastAsia="仿宋" w:cs="仿宋"/>
          <w:b/>
          <w:bCs/>
          <w:color w:val="000000"/>
          <w:kern w:val="0"/>
          <w:sz w:val="31"/>
          <w:szCs w:val="31"/>
          <w:lang w:val="en-US" w:eastAsia="zh-CN" w:bidi="ar"/>
        </w:rPr>
        <w:t>四、主要任务</w:t>
      </w: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>...................................（）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>（一）完善再生资源回收网络....................</w:t>
      </w: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>.</w:t>
      </w:r>
      <w:r>
        <w:rPr>
          <w:rFonts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（）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（二）推动回收规模化和专业化...................（）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（三）推进行业管理规范化.......................（）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b/>
          <w:bCs/>
          <w:color w:val="000000"/>
          <w:kern w:val="0"/>
          <w:sz w:val="31"/>
          <w:szCs w:val="31"/>
          <w:lang w:val="en-US" w:eastAsia="zh-CN" w:bidi="ar"/>
        </w:rPr>
        <w:t>五、保障措施</w:t>
      </w: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...................................（）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（一）推进组织协调.............................（）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（二）融合产业发展.............................（） </w:t>
      </w:r>
    </w:p>
    <w:p>
      <w:pPr>
        <w:keepNext w:val="0"/>
        <w:keepLines w:val="0"/>
        <w:widowControl/>
        <w:suppressLineNumbers w:val="0"/>
        <w:jc w:val="left"/>
        <w:rPr>
          <w:rFonts w:ascii="黑体" w:hAnsi="宋体" w:eastAsia="黑体" w:cs="黑体"/>
          <w:b/>
          <w:bCs/>
          <w:color w:val="000000"/>
          <w:kern w:val="0"/>
          <w:sz w:val="43"/>
          <w:szCs w:val="43"/>
          <w:lang w:val="en-US" w:eastAsia="zh-CN" w:bidi="ar"/>
        </w:rPr>
      </w:pPr>
      <w:r>
        <w:rPr>
          <w:rFonts w:hint="eastAsia" w:ascii="仿宋" w:hAnsi="仿宋" w:eastAsia="仿宋" w:cs="仿宋"/>
          <w:color w:val="000000"/>
          <w:kern w:val="0"/>
          <w:sz w:val="31"/>
          <w:szCs w:val="31"/>
          <w:lang w:val="en-US" w:eastAsia="zh-CN" w:bidi="ar"/>
        </w:rPr>
        <w:t xml:space="preserve">（三）强化宣传推广..................... .......（） </w:t>
      </w:r>
      <w:bookmarkStart w:id="0" w:name="_GoBack"/>
      <w:bookmarkEnd w:id="0"/>
    </w:p>
    <w:p>
      <w:pPr>
        <w:keepNext w:val="0"/>
        <w:keepLines w:val="0"/>
        <w:widowControl/>
        <w:suppressLineNumbers w:val="0"/>
        <w:ind w:firstLine="2590" w:firstLineChars="600"/>
        <w:jc w:val="left"/>
        <w:rPr>
          <w:rFonts w:ascii="黑体" w:hAnsi="宋体" w:eastAsia="黑体" w:cs="黑体"/>
          <w:b/>
          <w:bCs/>
          <w:color w:val="000000"/>
          <w:kern w:val="0"/>
          <w:sz w:val="43"/>
          <w:szCs w:val="43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ind w:firstLine="2590" w:firstLineChars="600"/>
        <w:jc w:val="both"/>
      </w:pPr>
      <w:r>
        <w:rPr>
          <w:rFonts w:ascii="黑体" w:hAnsi="宋体" w:eastAsia="黑体" w:cs="黑体"/>
          <w:b/>
          <w:bCs/>
          <w:color w:val="000000"/>
          <w:kern w:val="0"/>
          <w:sz w:val="43"/>
          <w:szCs w:val="43"/>
          <w:lang w:val="en-US" w:eastAsia="zh-CN" w:bidi="ar"/>
        </w:rPr>
        <w:t>一、总则</w:t>
      </w:r>
    </w:p>
    <w:p>
      <w:pPr>
        <w:keepNext w:val="0"/>
        <w:keepLines w:val="0"/>
        <w:widowControl/>
        <w:suppressLineNumbers w:val="0"/>
        <w:ind w:firstLine="622" w:firstLineChars="200"/>
        <w:jc w:val="left"/>
        <w:rPr>
          <w:rFonts w:ascii="黑体" w:hAnsi="宋体" w:eastAsia="黑体" w:cs="黑体"/>
          <w:b/>
          <w:bCs/>
          <w:color w:val="000000"/>
          <w:kern w:val="0"/>
          <w:sz w:val="31"/>
          <w:szCs w:val="31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ind w:firstLine="622" w:firstLineChars="200"/>
        <w:jc w:val="left"/>
      </w:pPr>
      <w:r>
        <w:rPr>
          <w:rFonts w:ascii="黑体" w:hAnsi="宋体" w:eastAsia="黑体" w:cs="黑体"/>
          <w:b/>
          <w:bCs/>
          <w:color w:val="000000"/>
          <w:kern w:val="0"/>
          <w:sz w:val="31"/>
          <w:szCs w:val="31"/>
          <w:lang w:val="en-US" w:eastAsia="zh-CN" w:bidi="ar"/>
        </w:rPr>
        <w:t>（一）规划背景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本规划以党中央、国务院和省委、省政府关于生态文明建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设、绿色低碳循环发展、废旧物资循环利用体系建设、无废城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市建设的一系列决策部署为指导，按照《厦门市国民经济和社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会发展第十四个五年规划和二</w:t>
      </w:r>
      <w:r>
        <w:rPr>
          <w:rFonts w:ascii="FZSongS-Extended" w:hAnsi="FZSongS-Extended" w:eastAsia="FZSongS-Extended" w:cs="FZSongS-Extended"/>
          <w:color w:val="000000"/>
          <w:kern w:val="0"/>
          <w:sz w:val="31"/>
          <w:szCs w:val="31"/>
          <w:lang w:val="en-US" w:eastAsia="zh-CN" w:bidi="ar"/>
        </w:rPr>
        <w:t>〇</w:t>
      </w: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三五年远景目标纲要》的总体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要求，以及“十四五”期间厦门再生资源行业发展的指导思想、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发展目标、网点规划、主要任务等，引导再生资源回收市场规范发展，大力推动垃圾分类回收和再生资源回收“两网融合”，为促进“十四五”期间厦门有序推进再生资源回收行业和循环经济向“高利用”“低排放”发展提供指引，助推“两高两化”城市建设和“双碳”目标实现。</w:t>
      </w:r>
    </w:p>
    <w:p>
      <w:pPr>
        <w:keepNext w:val="0"/>
        <w:keepLines w:val="0"/>
        <w:widowControl/>
        <w:suppressLineNumbers w:val="0"/>
        <w:ind w:firstLine="622" w:firstLineChars="200"/>
        <w:jc w:val="left"/>
      </w:pPr>
      <w:r>
        <w:rPr>
          <w:rFonts w:ascii="黑体" w:hAnsi="宋体" w:eastAsia="黑体" w:cs="黑体"/>
          <w:b/>
          <w:bCs/>
          <w:color w:val="000000"/>
          <w:kern w:val="0"/>
          <w:sz w:val="31"/>
          <w:szCs w:val="31"/>
          <w:lang w:val="en-US" w:eastAsia="zh-CN" w:bidi="ar"/>
        </w:rPr>
        <w:t>（二）规划编制依据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1.《再生资源回收管理办法》（商务部、发展改革委、公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安部、建设部、工商总局、环保总局令 2007 年第 8 号）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firstLine="620" w:firstLineChars="20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2.</w:t>
      </w:r>
      <w:r>
        <w:rPr>
          <w:rFonts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《中华人民共和国城乡规划法（2019 修正）》（主席令 </w:t>
      </w: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第 29 号）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3.《中华人民共和国循环经济促进法（2018 修正）》（主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席令第 16 号）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4.《中华人民共和国固体废物污染环境防治法（2016 修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正）》（主席令第 57 号）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5.《国务院办公厅关于建立完整的先进的废旧商品回收体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系的意见》（国办发〔2011〕49 号）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6.《再生资源回收体系建设中长期规划（2015-2020 年）》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（商流通发〔2015〕21 号）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7.《关于推进再生资源回收行业转型升级的意见》（商流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通函〔2016〕206 号）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8.《关于加快推进再生资源产业发展的指导意见》（工信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部联节〔2016〕440 号）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9.《循环发展引领行动》（发改环资〔2017〕751 号）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10.《关于“十四五”大宗固体废弃物综合利用的指导意见》 （发改环资〔2021〕381 号）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11.《“十四五”循环经济发展规划》（发改环资〔2021〕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969 号）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12.《“十四五”时期“无废城市”建设工作方案》（环固体〔2021〕114 号）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13.《“十四五”工业绿色发展规划》（工信部规〔2021〕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178 号） 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ind w:firstLine="620" w:firstLineChars="200"/>
        <w:jc w:val="left"/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14.《2030 年前碳达峰行动方案》（国发〔2021〕23 号）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15.《关于进一步推进生活垃圾分类工作的实施方案》（闽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建管〔2021〕6 号）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16.《福建省“十四五”生态环境保护专项规划》（闽政办 〔2021〕59 号）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17.《厦门市国民经济和社会发展第十四个五年规划和二</w:t>
      </w:r>
      <w:r>
        <w:rPr>
          <w:rFonts w:ascii="FZSongS-Extended" w:hAnsi="FZSongS-Extended" w:eastAsia="FZSongS-Extended" w:cs="FZSongS-Extended"/>
          <w:color w:val="000000"/>
          <w:kern w:val="0"/>
          <w:sz w:val="31"/>
          <w:szCs w:val="31"/>
          <w:lang w:val="en-US" w:eastAsia="zh-CN" w:bidi="ar"/>
        </w:rPr>
        <w:t xml:space="preserve">〇 </w:t>
      </w: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三五年远景目标纲要》（厦府〔2021〕57 号）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18.《厦门市促进两网融合助力垃圾分类工作方案》（厦垃圾分类办〔2021〕6 号）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19.《厦门市加快建立健全绿色低碳循环发展经济体系工作方案》（厦府规〔2022〕4 号）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20.《厦门市“十四五”生态文明建设规划》（厦府办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〔2022〕7 号）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21.《关于加快废旧物资循环利用体系建设的指导意见》 （发改环资〔2022〕109 号）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22.《厦门市国土空间规划管理技术规定（2021 版）》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23.《厦门市可回收物收运和资源化利用体系建设方案》 </w:t>
      </w:r>
    </w:p>
    <w:p>
      <w:pPr>
        <w:keepNext w:val="0"/>
        <w:keepLines w:val="0"/>
        <w:widowControl/>
        <w:suppressLineNumbers w:val="0"/>
        <w:jc w:val="left"/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（厦商务〔2018〕297 号）</w:t>
      </w:r>
    </w:p>
    <w:p>
      <w:pPr>
        <w:keepNext w:val="0"/>
        <w:keepLines w:val="0"/>
        <w:widowControl/>
        <w:suppressLineNumbers w:val="0"/>
        <w:ind w:firstLine="622" w:firstLineChars="200"/>
        <w:jc w:val="left"/>
      </w:pPr>
      <w:r>
        <w:rPr>
          <w:rFonts w:ascii="黑体" w:hAnsi="宋体" w:eastAsia="黑体" w:cs="黑体"/>
          <w:b/>
          <w:bCs/>
          <w:color w:val="000000"/>
          <w:kern w:val="0"/>
          <w:sz w:val="31"/>
          <w:szCs w:val="31"/>
          <w:lang w:val="en-US" w:eastAsia="zh-CN" w:bidi="ar"/>
        </w:rPr>
        <w:t xml:space="preserve">（三）规划范围与对象 </w:t>
      </w:r>
    </w:p>
    <w:p>
      <w:pPr>
        <w:keepNext w:val="0"/>
        <w:keepLines w:val="0"/>
        <w:widowControl/>
        <w:suppressLineNumbers w:val="0"/>
        <w:ind w:firstLine="622" w:firstLineChars="200"/>
        <w:jc w:val="left"/>
      </w:pPr>
      <w:r>
        <w:rPr>
          <w:rFonts w:ascii="仿宋_GB2312" w:hAnsi="宋体" w:eastAsia="仿宋_GB2312" w:cs="仿宋_GB2312"/>
          <w:b/>
          <w:bCs/>
          <w:color w:val="000000"/>
          <w:kern w:val="0"/>
          <w:sz w:val="31"/>
          <w:szCs w:val="31"/>
          <w:lang w:val="en-US" w:eastAsia="zh-CN" w:bidi="ar"/>
        </w:rPr>
        <w:t>规划范围：</w:t>
      </w: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本规范使用范围适用厦门翔安区 </w:t>
      </w:r>
    </w:p>
    <w:p>
      <w:pPr>
        <w:keepNext w:val="0"/>
        <w:keepLines w:val="0"/>
        <w:widowControl/>
        <w:suppressLineNumbers w:val="0"/>
        <w:ind w:firstLine="622" w:firstLineChars="200"/>
        <w:jc w:val="left"/>
      </w:pPr>
      <w:r>
        <w:rPr>
          <w:rFonts w:hint="eastAsia" w:ascii="仿宋_GB2312" w:hAnsi="宋体" w:eastAsia="仿宋_GB2312" w:cs="仿宋_GB2312"/>
          <w:b/>
          <w:bCs/>
          <w:color w:val="000000"/>
          <w:kern w:val="0"/>
          <w:sz w:val="31"/>
          <w:szCs w:val="31"/>
          <w:lang w:val="en-US" w:eastAsia="zh-CN" w:bidi="ar"/>
        </w:rPr>
        <w:t>规划对象：</w:t>
      </w: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再生资源回收体系，包括再生资源回收网点、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中转站、分拣中心、信息平台等从事再生资源回收经营活动的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企业和个体工商户等。业种主要为固体废弃物，不包括气体和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液体，也不包括有毒有害固废、医疗废物、建筑垃圾和餐厨垃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圾，重点包括废旧日用品生活性再生资源的回收、生活垃圾中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可回收部分以及生产性再生资源的回收，不包括再生资源的利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用。 </w:t>
      </w:r>
    </w:p>
    <w:p>
      <w:pPr>
        <w:keepNext w:val="0"/>
        <w:keepLines w:val="0"/>
        <w:widowControl/>
        <w:suppressLineNumbers w:val="0"/>
        <w:ind w:firstLine="622" w:firstLineChars="200"/>
        <w:jc w:val="left"/>
      </w:pPr>
      <w:r>
        <w:rPr>
          <w:rFonts w:hint="eastAsia" w:ascii="黑体" w:hAnsi="宋体" w:eastAsia="黑体" w:cs="黑体"/>
          <w:b/>
          <w:bCs/>
          <w:color w:val="000000"/>
          <w:kern w:val="0"/>
          <w:sz w:val="31"/>
          <w:szCs w:val="31"/>
          <w:lang w:val="en-US" w:eastAsia="zh-CN" w:bidi="ar"/>
        </w:rPr>
        <w:t xml:space="preserve">（四）规划期限 </w:t>
      </w:r>
    </w:p>
    <w:p>
      <w:pPr>
        <w:keepNext w:val="0"/>
        <w:keepLines w:val="0"/>
        <w:widowControl/>
        <w:suppressLineNumbers w:val="0"/>
        <w:ind w:firstLine="622" w:firstLineChars="200"/>
        <w:jc w:val="left"/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</w:pPr>
      <w:r>
        <w:rPr>
          <w:rFonts w:hint="eastAsia" w:ascii="仿宋_GB2312" w:hAnsi="宋体" w:eastAsia="仿宋_GB2312" w:cs="仿宋_GB2312"/>
          <w:b/>
          <w:bCs/>
          <w:color w:val="000000"/>
          <w:kern w:val="0"/>
          <w:sz w:val="31"/>
          <w:szCs w:val="31"/>
          <w:lang w:val="en-US" w:eastAsia="zh-CN" w:bidi="ar"/>
        </w:rPr>
        <w:t xml:space="preserve">规划期限为 </w:t>
      </w: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2024 年至2026年，以 2024年作为规划基准年。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ind w:firstLine="2158" w:firstLineChars="500"/>
        <w:jc w:val="left"/>
      </w:pPr>
      <w:r>
        <w:rPr>
          <w:rFonts w:hint="eastAsia" w:ascii="黑体" w:hAnsi="宋体" w:eastAsia="黑体" w:cs="黑体"/>
          <w:b/>
          <w:bCs/>
          <w:color w:val="000000"/>
          <w:kern w:val="0"/>
          <w:sz w:val="43"/>
          <w:szCs w:val="43"/>
          <w:lang w:val="en-US" w:eastAsia="zh-CN" w:bidi="ar"/>
        </w:rPr>
        <w:t>二</w:t>
      </w:r>
      <w:r>
        <w:rPr>
          <w:rFonts w:ascii="黑体" w:hAnsi="宋体" w:eastAsia="黑体" w:cs="黑体"/>
          <w:b/>
          <w:bCs/>
          <w:color w:val="000000"/>
          <w:kern w:val="0"/>
          <w:sz w:val="43"/>
          <w:szCs w:val="43"/>
          <w:lang w:val="en-US" w:eastAsia="zh-CN" w:bidi="ar"/>
        </w:rPr>
        <w:t>、总体要求</w:t>
      </w:r>
    </w:p>
    <w:p>
      <w:pPr>
        <w:keepNext w:val="0"/>
        <w:keepLines w:val="0"/>
        <w:widowControl/>
        <w:suppressLineNumbers w:val="0"/>
        <w:ind w:firstLine="622" w:firstLineChars="200"/>
        <w:jc w:val="left"/>
        <w:rPr>
          <w:rFonts w:hint="eastAsia" w:ascii="黑体" w:hAnsi="宋体" w:eastAsia="黑体" w:cs="黑体"/>
          <w:b/>
          <w:bCs/>
          <w:color w:val="000000"/>
          <w:kern w:val="0"/>
          <w:sz w:val="31"/>
          <w:szCs w:val="31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ind w:firstLine="622" w:firstLineChars="200"/>
        <w:jc w:val="left"/>
      </w:pPr>
      <w:r>
        <w:rPr>
          <w:rFonts w:hint="eastAsia" w:ascii="黑体" w:hAnsi="宋体" w:eastAsia="黑体" w:cs="黑体"/>
          <w:b/>
          <w:bCs/>
          <w:color w:val="000000"/>
          <w:kern w:val="0"/>
          <w:sz w:val="31"/>
          <w:szCs w:val="31"/>
          <w:lang w:val="en-US" w:eastAsia="zh-CN" w:bidi="ar"/>
        </w:rPr>
        <w:t>（</w:t>
      </w:r>
      <w:r>
        <w:rPr>
          <w:rFonts w:ascii="黑体" w:hAnsi="宋体" w:eastAsia="黑体" w:cs="黑体"/>
          <w:b/>
          <w:bCs/>
          <w:color w:val="000000"/>
          <w:kern w:val="0"/>
          <w:sz w:val="31"/>
          <w:szCs w:val="31"/>
          <w:lang w:val="en-US" w:eastAsia="zh-CN" w:bidi="ar"/>
        </w:rPr>
        <w:t xml:space="preserve">一）指导思想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以党的二十大</w:t>
      </w: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和二十届二中全会</w:t>
      </w:r>
      <w:r>
        <w:rPr>
          <w:rFonts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精神为指导，全面贯彻习近平生态文明思想，</w:t>
      </w: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把碳达峰碳中和纳入生态文明建设整体布局，依托“国家废旧物资循环利用体系建设重点城市”的平台优势，紧抓国家生态文明试验区、生态文明典范城市建设和“无废城市”建设的重大契机。构建多元化回收、集中分拣和拆解、安全储存运输的新型再生资源回收体系。统筹垃圾分类回收与再生资源回收“两网融合”，为推进高质量发展和高水平保护、建立健全绿色低碳循环发展经济体系、促进经济社会发展全面绿色转型提供坚强保障，提升全社会资源利用效率，助力实现“双碳”目标。</w:t>
      </w:r>
    </w:p>
    <w:p>
      <w:pPr>
        <w:keepNext w:val="0"/>
        <w:keepLines w:val="0"/>
        <w:widowControl/>
        <w:suppressLineNumbers w:val="0"/>
        <w:ind w:firstLine="622" w:firstLineChars="200"/>
        <w:jc w:val="left"/>
      </w:pPr>
      <w:r>
        <w:rPr>
          <w:rFonts w:ascii="黑体" w:hAnsi="宋体" w:eastAsia="黑体" w:cs="黑体"/>
          <w:b/>
          <w:bCs/>
          <w:color w:val="000000"/>
          <w:kern w:val="0"/>
          <w:sz w:val="31"/>
          <w:szCs w:val="31"/>
          <w:lang w:val="en-US" w:eastAsia="zh-CN" w:bidi="ar"/>
        </w:rPr>
        <w:t xml:space="preserve">（二）基本原则 </w:t>
      </w:r>
    </w:p>
    <w:p>
      <w:pPr>
        <w:keepNext w:val="0"/>
        <w:keepLines w:val="0"/>
        <w:widowControl/>
        <w:suppressLineNumbers w:val="0"/>
        <w:ind w:firstLine="622" w:firstLineChars="200"/>
        <w:jc w:val="left"/>
      </w:pPr>
      <w:r>
        <w:rPr>
          <w:rFonts w:ascii="仿宋_GB2312" w:hAnsi="宋体" w:eastAsia="仿宋_GB2312" w:cs="仿宋_GB2312"/>
          <w:b/>
          <w:bCs/>
          <w:color w:val="000000"/>
          <w:kern w:val="0"/>
          <w:sz w:val="31"/>
          <w:szCs w:val="31"/>
          <w:lang w:val="en-US" w:eastAsia="zh-CN" w:bidi="ar"/>
        </w:rPr>
        <w:t>政府引导、市场运作。</w:t>
      </w: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加强政府在规范制度建设、完善政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策支持和推动行业发展等方面的引导作用，建立分工明确、权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责清晰、协同增效的体制机制，为企业发展创造良好的政策环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境。充分发挥市场引力作用，以及市场在资源配置中的决定性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作用，凭借再生资源碳减排和资源补给的双重属性，运用市场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机制规范市场秩序，引导和支持企业市场化运作，鼓励市场主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体大胆探索创新模式和提升技术，激发企业在再生资源回收利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用中的创造力和内生动力，促进行业提质增效、转型升级，保</w:t>
      </w:r>
    </w:p>
    <w:p>
      <w:pPr>
        <w:keepNext w:val="0"/>
        <w:keepLines w:val="0"/>
        <w:widowControl/>
        <w:suppressLineNumbers w:val="0"/>
        <w:jc w:val="left"/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障再生资源回收行业健康发展。</w:t>
      </w:r>
    </w:p>
    <w:p>
      <w:pPr>
        <w:keepNext w:val="0"/>
        <w:keepLines w:val="0"/>
        <w:widowControl/>
        <w:suppressLineNumbers w:val="0"/>
        <w:ind w:firstLine="622" w:firstLineChars="200"/>
        <w:jc w:val="left"/>
      </w:pPr>
      <w:r>
        <w:rPr>
          <w:rFonts w:ascii="仿宋_GB2312" w:hAnsi="宋体" w:eastAsia="仿宋_GB2312" w:cs="仿宋_GB2312"/>
          <w:b/>
          <w:bCs/>
          <w:color w:val="000000"/>
          <w:kern w:val="0"/>
          <w:sz w:val="31"/>
          <w:szCs w:val="31"/>
          <w:lang w:val="en-US" w:eastAsia="zh-CN" w:bidi="ar"/>
        </w:rPr>
        <w:t>系统谋划、规范提升。</w:t>
      </w: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注重再生资源回收体系的整体规划，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建立健全再生资源回收、分拣全过程管理体系，使再生资源成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为资源类产品的重要补充渠道，进一步发挥再生资源行业的减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排属性。以回收、分拣环节为重点，以回收量大、易于回收利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用、高值回收品类的再生资源为重点，发挥行业龙头企业作用，实行分品类、分领域的分类指导并精准施策，鼓励分拣中心引入新设备、利用新技术提高分拣加工水平。建立健全回收渠道，探索生活垃圾分类和再生资源回收“两网融合”，支持低值可回收物分拣中心建设，逐步提升低值可回收物资源化利用水平。</w:t>
      </w:r>
    </w:p>
    <w:p>
      <w:pPr>
        <w:keepNext w:val="0"/>
        <w:keepLines w:val="0"/>
        <w:widowControl/>
        <w:suppressLineNumbers w:val="0"/>
        <w:ind w:firstLine="622" w:firstLineChars="200"/>
        <w:jc w:val="left"/>
      </w:pPr>
      <w:r>
        <w:rPr>
          <w:rFonts w:ascii="仿宋_GB2312" w:hAnsi="宋体" w:eastAsia="仿宋_GB2312" w:cs="仿宋_GB2312"/>
          <w:b/>
          <w:bCs/>
          <w:color w:val="000000"/>
          <w:kern w:val="0"/>
          <w:sz w:val="31"/>
          <w:szCs w:val="31"/>
          <w:lang w:val="en-US" w:eastAsia="zh-CN" w:bidi="ar"/>
        </w:rPr>
        <w:t>创新引领、提质增效。</w:t>
      </w: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借鉴国内其他城市成功经验，促进再生资源回收技术创新、模式创新、管理创新。鼓励企业积极应用数字化技术，推进再生资源行业数字化水平，建设行业交易平台。鼓励优秀企业和龙头企业先行先试，发挥示范带动作用，形成可复制、可推广、可借鉴的典型回收模式。探索行业企业与国企合作，建设一批兼具市政环卫及再生资源回收功能的回收站点，推广规范收集、分拣拆解、安全储运等营运经验，引导产业集聚和整合发展。</w:t>
      </w:r>
    </w:p>
    <w:p>
      <w:pPr>
        <w:keepNext w:val="0"/>
        <w:keepLines w:val="0"/>
        <w:widowControl/>
        <w:suppressLineNumbers w:val="0"/>
        <w:ind w:firstLine="622" w:firstLineChars="200"/>
        <w:jc w:val="left"/>
      </w:pPr>
      <w:r>
        <w:rPr>
          <w:rFonts w:ascii="黑体" w:hAnsi="宋体" w:eastAsia="黑体" w:cs="黑体"/>
          <w:b/>
          <w:bCs/>
          <w:color w:val="000000"/>
          <w:kern w:val="0"/>
          <w:sz w:val="31"/>
          <w:szCs w:val="31"/>
          <w:lang w:val="en-US" w:eastAsia="zh-CN" w:bidi="ar"/>
        </w:rPr>
        <w:t xml:space="preserve">（三）发展目标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到2025年，基本建成交投便利、转运畅通的再生资源回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收体系。回收网点覆盖范围持续扩大，回收模式更加规范高效，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再生资源行业专业化、信息化、集约化、规范化的水平持续提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高，回收经营者主体能级不断提升，物流网络逐渐完善。再生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资源主要回收品种的回收量、回收率持续提升。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</w:pPr>
      <w:r>
        <w:rPr>
          <w:rFonts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到202</w:t>
      </w: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6</w:t>
      </w:r>
      <w:r>
        <w:rPr>
          <w:rFonts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年，建成规范化的分拣</w:t>
      </w: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中心6-8个。根据《再生资源回收站点建设管理规范》要求，结合《厦门经济特区年鉴2022》中辖区户数、社区数、村庄数及厦门市“十四五”规划中2025年常驻人口规模测算，到2024年再生资源回收站点达405家。实现废金属（包括废钢、废铝、废不锈钢、废铜）、废纸、废玻璃、废塑料、废纺织物、废家电及电子产品等再生资源主要品种的回收量在2026年达到10万吨</w:t>
      </w:r>
      <w:r>
        <w:rPr>
          <w:rFonts w:hint="eastAsia" w:ascii="仿宋_GB2312" w:hAnsi="宋体" w:eastAsia="仿宋_GB2312" w:cs="仿宋_GB2312"/>
          <w:color w:val="000000" w:themeColor="text1"/>
          <w:kern w:val="0"/>
          <w:sz w:val="31"/>
          <w:szCs w:val="31"/>
          <w:lang w:val="en-US" w:eastAsia="zh-CN" w:bidi="ar"/>
          <w14:textFill>
            <w14:solidFill>
              <w14:schemeClr w14:val="tx1"/>
            </w14:solidFill>
          </w14:textFill>
        </w:rPr>
        <w:t>，整体回收率达81％</w:t>
      </w: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以上。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ind w:firstLine="1727" w:firstLineChars="400"/>
        <w:jc w:val="left"/>
      </w:pPr>
      <w:r>
        <w:rPr>
          <w:rFonts w:hint="eastAsia" w:ascii="黑体" w:hAnsi="宋体" w:eastAsia="黑体" w:cs="黑体"/>
          <w:b/>
          <w:bCs/>
          <w:color w:val="000000"/>
          <w:kern w:val="0"/>
          <w:sz w:val="43"/>
          <w:szCs w:val="43"/>
          <w:lang w:val="en-US" w:eastAsia="zh-CN" w:bidi="ar"/>
        </w:rPr>
        <w:t>三</w:t>
      </w:r>
      <w:r>
        <w:rPr>
          <w:rFonts w:ascii="黑体" w:hAnsi="宋体" w:eastAsia="黑体" w:cs="黑体"/>
          <w:b/>
          <w:bCs/>
          <w:color w:val="000000"/>
          <w:kern w:val="0"/>
          <w:sz w:val="43"/>
          <w:szCs w:val="43"/>
          <w:lang w:val="en-US" w:eastAsia="zh-CN" w:bidi="ar"/>
        </w:rPr>
        <w:t>、网点规划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  <w:rPr>
          <w:rFonts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按照统筹规划、合理布局的原则，根据</w:t>
      </w: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翔安区</w:t>
      </w:r>
      <w:r>
        <w:rPr>
          <w:rFonts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经济发展水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平、人口密度、环境和资源等具体情况，以及再生资源回收行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业发展的市场需求，鼓励再生资源回收企业优化布局，实现网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点布局与区域发展相适应，再生资源回收能力与城市再生资源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回收利用需求相匹配，形成均衡有序的发展格局。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完善以社区回收站点为基础、以片区分拣中心为核心</w:t>
      </w: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的再生资源回收网点体系，以“分拣加工”为主，布局合理、管理规范、回收方式多元、重点品种回收率较高的再生资源回收格局，推动全区的再生资源行业向规模化、集约化、数字化发展。</w:t>
      </w:r>
    </w:p>
    <w:p>
      <w:pPr>
        <w:keepNext w:val="0"/>
        <w:keepLines w:val="0"/>
        <w:widowControl/>
        <w:suppressLineNumbers w:val="0"/>
        <w:ind w:firstLine="622" w:firstLineChars="200"/>
        <w:jc w:val="left"/>
      </w:pPr>
      <w:r>
        <w:rPr>
          <w:rFonts w:ascii="黑体" w:hAnsi="宋体" w:eastAsia="黑体" w:cs="黑体"/>
          <w:b/>
          <w:bCs/>
          <w:color w:val="000000"/>
          <w:kern w:val="0"/>
          <w:sz w:val="31"/>
          <w:szCs w:val="31"/>
          <w:lang w:val="en-US" w:eastAsia="zh-CN" w:bidi="ar"/>
        </w:rPr>
        <w:t xml:space="preserve">（一）回收站点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回收网点负责收集居民和企事业单位在生产、生活中产生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的再生资源，主要包括废塑料、废旧金属、废玻璃、废橡胶、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废木材、废纸、废弃电器电子产品等品种。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根据《再生资源回收站点建设管理规范》（SB/T10719-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2012），按照总量控制、合理布局和便于交售的原则，每个社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区（村居）或每2000户居民可结合生活垃圾分类点设置1-2</w:t>
      </w:r>
      <w:r>
        <w:rPr>
          <w:rFonts w:hint="eastAsia" w:ascii="仿宋_GB2312" w:hAnsi="宋体" w:eastAsia="仿宋_GB2312" w:cs="仿宋_GB2312"/>
          <w:color w:val="000000"/>
          <w:kern w:val="0"/>
          <w:sz w:val="8"/>
          <w:szCs w:val="8"/>
          <w:lang w:val="en-US" w:eastAsia="zh-CN" w:bidi="ar"/>
        </w:rPr>
        <w:t xml:space="preserve"> 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个回收物交投站（点），由可回收物经营者收集运输。应参照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《厦门市国土空间规划管理技术规定（2021版）》，并按街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道-社区的标准及相关要求配置。固定回收站点的营业面积一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般不少于10平方米。鼓励站点的建筑、设计、外部装修应符</w:t>
      </w:r>
      <w:r>
        <w:rPr>
          <w:rFonts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合《建筑设计防火规范》（GB50016-2014），《安全标志及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其使用导则》（GB2894-2008）的要求，符合环境、排污、市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容、消防要求，并与社区环境相协调，原则上要求全封闭。回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收站点内部应悬挂《再生资源回收经营者备案登记证明》、收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购品种和价格表，并明确严令禁止收购的物品名称。站点内的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再生资源按商品储运要求堆放整齐，按规定要求分类摆放。对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不具备条件的社区（村居），引导企业采用设置智能回收箱、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轻质材料临时回收点、上门回收等多种方式予以补充。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鼓励龙头企业通过连锁经营、特许经营（加盟）、兼并合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作等方式整合收编回收小站点和个体经营户，设置回收示范门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店、垃圾投放屋、试点社区等推广样板，实现门店提升、设备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提升、模式提升，建设统一的示范回收门店。尽量为从业人员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提供职业道德教育和岗位知识、技能培训，培训合格后再上岗，</w:t>
      </w:r>
    </w:p>
    <w:p>
      <w:pPr>
        <w:keepNext w:val="0"/>
        <w:keepLines w:val="0"/>
        <w:widowControl/>
        <w:suppressLineNumbers w:val="0"/>
        <w:jc w:val="left"/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提倡为回收站点招用的人员制发统一的再生资源流动回收标识。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</w:pPr>
      <w:r>
        <w:rPr>
          <w:rFonts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引导家电回收企业向消费者提供免费上门回收和拆装等服</w:t>
      </w: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务，鼓励根据废家电产品种类和资源属性实行明码标价，做到相关信息公开透明。鼓励有条件的企业依托家电销售、维修服务企业设立废旧家电回收站点、中转站。</w:t>
      </w:r>
    </w:p>
    <w:p>
      <w:pPr>
        <w:keepNext w:val="0"/>
        <w:keepLines w:val="0"/>
        <w:widowControl/>
        <w:suppressLineNumbers w:val="0"/>
        <w:ind w:firstLine="622" w:firstLineChars="200"/>
        <w:jc w:val="left"/>
      </w:pPr>
      <w:r>
        <w:rPr>
          <w:rFonts w:ascii="黑体" w:hAnsi="宋体" w:eastAsia="黑体" w:cs="黑体"/>
          <w:b/>
          <w:bCs/>
          <w:color w:val="000000"/>
          <w:kern w:val="0"/>
          <w:sz w:val="31"/>
          <w:szCs w:val="31"/>
          <w:lang w:val="en-US" w:eastAsia="zh-CN" w:bidi="ar"/>
        </w:rPr>
        <w:t xml:space="preserve">（二）分拣中心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分拣中心承接来自前端回收站点的各品类再生资源，并进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行统一的规范化、分拣加工；对于后端的集散中心和加工利用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基地而言，分拣中心是再生资源的汇集点，提供了充足的原料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保障。建设分拣中心，是完善再生资源回收体系、促进“无废</w:t>
      </w:r>
      <w:r>
        <w:rPr>
          <w:rFonts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城市”建设的迫切需要，也是推动行业规范发展、防止分拣二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次污染的重要环节。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作为再生资源回收网点体系的核心，再生资源分拣中心集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再生资源聚集和分拣功能于一体。分拣中心一般应覆盖20公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里之内的回收站点，面积一般不低于1500平方米。根据翔安区的产业布局、交通状况、社区密度，按照“用地集约化，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生产洁净化，原料无害化，能源低碳化”的原则，建立综合化、</w:t>
      </w:r>
    </w:p>
    <w:p>
      <w:pPr>
        <w:keepNext w:val="0"/>
        <w:keepLines w:val="0"/>
        <w:widowControl/>
        <w:suppressLineNumbers w:val="0"/>
        <w:jc w:val="left"/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规模化、标准化的绿色分拣中心。结合再生资源的回收量、品类以及用地情况，规划具备相应处置能力的分拣中心。通过对分拣中心的科学选址，规划布局建设回收多种品类再生资源的综合型分拣中心，以及低值可回收物的专业型分拣中心。分拣中心要根据《再生资源绿色分拣中心建设管理规范》（SB/T10720-2021）进行合理设置。</w:t>
      </w:r>
    </w:p>
    <w:p>
      <w:pPr>
        <w:keepNext w:val="0"/>
        <w:keepLines w:val="0"/>
        <w:widowControl/>
        <w:suppressLineNumbers w:val="0"/>
        <w:jc w:val="left"/>
      </w:pPr>
    </w:p>
    <w:p>
      <w:pPr>
        <w:keepNext w:val="0"/>
        <w:keepLines w:val="0"/>
        <w:widowControl/>
        <w:suppressLineNumbers w:val="0"/>
        <w:jc w:val="left"/>
      </w:pPr>
    </w:p>
    <w:p>
      <w:pPr>
        <w:keepNext w:val="0"/>
        <w:keepLines w:val="0"/>
        <w:widowControl/>
        <w:suppressLineNumbers w:val="0"/>
        <w:ind w:firstLine="2158" w:firstLineChars="500"/>
        <w:jc w:val="left"/>
      </w:pPr>
      <w:r>
        <w:rPr>
          <w:rFonts w:hint="eastAsia" w:ascii="黑体" w:hAnsi="宋体" w:eastAsia="黑体" w:cs="黑体"/>
          <w:b/>
          <w:bCs/>
          <w:color w:val="000000"/>
          <w:kern w:val="0"/>
          <w:sz w:val="43"/>
          <w:szCs w:val="43"/>
          <w:lang w:val="en-US" w:eastAsia="zh-CN" w:bidi="ar"/>
        </w:rPr>
        <w:t>四</w:t>
      </w:r>
      <w:r>
        <w:rPr>
          <w:rFonts w:ascii="黑体" w:hAnsi="宋体" w:eastAsia="黑体" w:cs="黑体"/>
          <w:b/>
          <w:bCs/>
          <w:color w:val="000000"/>
          <w:kern w:val="0"/>
          <w:sz w:val="43"/>
          <w:szCs w:val="43"/>
          <w:lang w:val="en-US" w:eastAsia="zh-CN" w:bidi="ar"/>
        </w:rPr>
        <w:t>、主要任务</w:t>
      </w:r>
    </w:p>
    <w:p>
      <w:pPr>
        <w:keepNext w:val="0"/>
        <w:keepLines w:val="0"/>
        <w:widowControl/>
        <w:suppressLineNumbers w:val="0"/>
        <w:ind w:firstLine="622" w:firstLineChars="200"/>
        <w:jc w:val="left"/>
        <w:rPr>
          <w:rFonts w:ascii="黑体" w:hAnsi="宋体" w:eastAsia="黑体" w:cs="黑体"/>
          <w:b/>
          <w:bCs/>
          <w:color w:val="000000"/>
          <w:kern w:val="0"/>
          <w:sz w:val="31"/>
          <w:szCs w:val="31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ind w:firstLine="622" w:firstLineChars="200"/>
        <w:jc w:val="left"/>
      </w:pPr>
      <w:r>
        <w:rPr>
          <w:rFonts w:ascii="黑体" w:hAnsi="宋体" w:eastAsia="黑体" w:cs="黑体"/>
          <w:b/>
          <w:bCs/>
          <w:color w:val="000000"/>
          <w:kern w:val="0"/>
          <w:sz w:val="31"/>
          <w:szCs w:val="31"/>
          <w:lang w:val="en-US" w:eastAsia="zh-CN" w:bidi="ar"/>
        </w:rPr>
        <w:t xml:space="preserve">（一）完善再生资源回收网络 </w:t>
      </w:r>
    </w:p>
    <w:p>
      <w:pPr>
        <w:keepNext w:val="0"/>
        <w:keepLines w:val="0"/>
        <w:widowControl/>
        <w:suppressLineNumbers w:val="0"/>
        <w:ind w:firstLine="622" w:firstLineChars="200"/>
        <w:jc w:val="left"/>
      </w:pPr>
      <w:r>
        <w:rPr>
          <w:rFonts w:ascii="楷体" w:hAnsi="楷体" w:eastAsia="楷体" w:cs="楷体"/>
          <w:b/>
          <w:bCs/>
          <w:color w:val="000000"/>
          <w:kern w:val="0"/>
          <w:sz w:val="31"/>
          <w:szCs w:val="31"/>
          <w:lang w:val="en-US" w:eastAsia="zh-CN" w:bidi="ar"/>
        </w:rPr>
        <w:t>1.推动社区回收站（点）建设。</w:t>
      </w:r>
      <w:r>
        <w:rPr>
          <w:rFonts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推动社区（村居）结合生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活垃圾分类点设置可回收物交投点，结合一刻钟便民生活圈创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建工作，提升再生资源回收企业服务社区、服务居民能力，以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社区便利店、便民服务点、社区服务点为依托，探索再生资源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“代收代储”回收模式。在机关事业单位、医院、商业街区、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交通枢纽等场所，设立自助回收点，引进固定回收箱、智能回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收箱等智能回收终端设备，利用自助回收、协议回收、定期回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收等方式，因地制宜、试点布局规范收集、环保分拣的示范模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式。在难以设立固定站点的地区，组织统一管理、规范操作的</w:t>
      </w:r>
    </w:p>
    <w:p>
      <w:pPr>
        <w:keepNext w:val="0"/>
        <w:keepLines w:val="0"/>
        <w:widowControl/>
        <w:suppressLineNumbers w:val="0"/>
        <w:jc w:val="left"/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流动回收车。</w:t>
      </w:r>
    </w:p>
    <w:p>
      <w:pPr>
        <w:keepNext w:val="0"/>
        <w:keepLines w:val="0"/>
        <w:widowControl/>
        <w:suppressLineNumbers w:val="0"/>
        <w:ind w:firstLine="622" w:firstLineChars="200"/>
        <w:jc w:val="left"/>
      </w:pPr>
      <w:r>
        <w:rPr>
          <w:rFonts w:ascii="楷体" w:hAnsi="楷体" w:eastAsia="楷体" w:cs="楷体"/>
          <w:b/>
          <w:bCs/>
          <w:color w:val="000000"/>
          <w:kern w:val="0"/>
          <w:sz w:val="31"/>
          <w:szCs w:val="31"/>
          <w:lang w:val="en-US" w:eastAsia="zh-CN" w:bidi="ar"/>
        </w:rPr>
        <w:t>2.加强分拣中心规范建设。</w:t>
      </w:r>
      <w:r>
        <w:rPr>
          <w:rFonts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分拣中心</w:t>
      </w: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要落实环境保护、安全生产、产品质量、劳动保护等要求。规划建成低值可回收物分拣中心、废金属类回收分拣中心和</w:t>
      </w:r>
      <w:r>
        <w:rPr>
          <w:rFonts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废非金属类回收分</w:t>
      </w: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拣中心各一个。强化综合型分拣中心安全检测、分拣、打包、存储等处置功能，为生活源、商业源再生资源和生活垃圾分类后可回收物利用提供保障。强化专业型分拣中心分选、剪切、破碎、清洗、打包、存储等处置功能。</w:t>
      </w:r>
    </w:p>
    <w:p>
      <w:pPr>
        <w:keepNext w:val="0"/>
        <w:keepLines w:val="0"/>
        <w:widowControl/>
        <w:suppressLineNumbers w:val="0"/>
        <w:ind w:firstLine="622" w:firstLineChars="200"/>
        <w:jc w:val="left"/>
      </w:pPr>
      <w:r>
        <w:rPr>
          <w:rFonts w:ascii="楷体" w:hAnsi="楷体" w:eastAsia="楷体" w:cs="楷体"/>
          <w:b/>
          <w:bCs/>
          <w:color w:val="000000"/>
          <w:kern w:val="0"/>
          <w:sz w:val="31"/>
          <w:szCs w:val="31"/>
          <w:lang w:val="en-US" w:eastAsia="zh-CN" w:bidi="ar"/>
        </w:rPr>
        <w:t>3.积极推进“两网融合”。</w:t>
      </w:r>
      <w:r>
        <w:rPr>
          <w:rFonts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以生活垃圾分类工作为基础，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继续深入推进生活垃圾分类网点与废旧物资回收网点“两网融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合”，积极打造“两网融合”示范门店。提高生活垃圾资源化利用水平。遵循“统筹协调、因地制宜、市场驱动、全民参与”的原则，建设生活类再生资源回收网络，在收、储、运、用等重点环节上实现高效衔接，推进我区生活垃圾的末端处理设施扩能提质，减轻生活垃圾终端处理压力，促进资源循环利用。</w:t>
      </w:r>
    </w:p>
    <w:p>
      <w:pPr>
        <w:keepNext w:val="0"/>
        <w:keepLines w:val="0"/>
        <w:widowControl/>
        <w:suppressLineNumbers w:val="0"/>
        <w:ind w:firstLine="622" w:firstLineChars="200"/>
        <w:jc w:val="left"/>
      </w:pPr>
      <w:r>
        <w:rPr>
          <w:rFonts w:ascii="楷体" w:hAnsi="楷体" w:eastAsia="楷体" w:cs="楷体"/>
          <w:b/>
          <w:bCs/>
          <w:color w:val="000000"/>
          <w:kern w:val="0"/>
          <w:sz w:val="31"/>
          <w:szCs w:val="31"/>
          <w:lang w:val="en-US" w:eastAsia="zh-CN" w:bidi="ar"/>
        </w:rPr>
        <w:t>4.完善农村回收体系。</w:t>
      </w:r>
      <w:r>
        <w:rPr>
          <w:rFonts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在部分</w:t>
      </w: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镇街建立与城镇化进程相适应回收体系，充分利用城镇的设施、技术和队伍，形成“以城带乡、城乡互动”的发展格局。发挥龙头企业示范带动作用，与村级集体经济组织开展合作，做到统一回收、统一管理、统一物流，实现“日清”回收管理模式。适当利用村（居）闲置场地，建设废旧金属、废纸、废玻璃制品等于一体的乡村再生资源回收分拣中心，实现垃圾减量化、资源化。</w:t>
      </w:r>
    </w:p>
    <w:p>
      <w:pPr>
        <w:keepNext w:val="0"/>
        <w:keepLines w:val="0"/>
        <w:widowControl/>
        <w:suppressLineNumbers w:val="0"/>
        <w:ind w:firstLine="622" w:firstLineChars="200"/>
        <w:jc w:val="left"/>
      </w:pPr>
      <w:r>
        <w:rPr>
          <w:rFonts w:ascii="黑体" w:hAnsi="宋体" w:eastAsia="黑体" w:cs="黑体"/>
          <w:b/>
          <w:bCs/>
          <w:color w:val="000000"/>
          <w:kern w:val="0"/>
          <w:sz w:val="31"/>
          <w:szCs w:val="31"/>
          <w:lang w:val="en-US" w:eastAsia="zh-CN" w:bidi="ar"/>
        </w:rPr>
        <w:t xml:space="preserve">（二）推动回收规模化和专业化 </w:t>
      </w:r>
    </w:p>
    <w:p>
      <w:pPr>
        <w:keepNext w:val="0"/>
        <w:keepLines w:val="0"/>
        <w:widowControl/>
        <w:suppressLineNumbers w:val="0"/>
        <w:ind w:firstLine="622" w:firstLineChars="200"/>
        <w:jc w:val="left"/>
      </w:pPr>
      <w:r>
        <w:rPr>
          <w:rFonts w:ascii="楷体" w:hAnsi="楷体" w:eastAsia="楷体" w:cs="楷体"/>
          <w:b/>
          <w:bCs/>
          <w:color w:val="000000"/>
          <w:kern w:val="0"/>
          <w:sz w:val="31"/>
          <w:szCs w:val="31"/>
          <w:lang w:val="en-US" w:eastAsia="zh-CN" w:bidi="ar"/>
        </w:rPr>
        <w:t>5.推动再生资源回收示范门店建设。</w:t>
      </w:r>
      <w:r>
        <w:rPr>
          <w:rFonts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推广“两网融合”再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生资源回收示范门店建设，通过互联网数据化管理模式，加强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台账管理，实现入库、出库物品种类以及订单数、总重量、总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金额等统计数据每日可查可溯源，对再生资源回收实现统一价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格、统一计量等统一管理，规范再生资源回收服务，提升再生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资源的利用效率，以点带面实现最大程度再生资源循环利用。</w:t>
      </w:r>
    </w:p>
    <w:p>
      <w:pPr>
        <w:keepNext w:val="0"/>
        <w:keepLines w:val="0"/>
        <w:widowControl/>
        <w:suppressLineNumbers w:val="0"/>
        <w:ind w:firstLine="622" w:firstLineChars="200"/>
        <w:jc w:val="left"/>
      </w:pPr>
      <w:r>
        <w:rPr>
          <w:rFonts w:ascii="楷体" w:hAnsi="楷体" w:eastAsia="楷体" w:cs="楷体"/>
          <w:b/>
          <w:bCs/>
          <w:color w:val="000000"/>
          <w:kern w:val="0"/>
          <w:sz w:val="31"/>
          <w:szCs w:val="31"/>
          <w:lang w:val="en-US" w:eastAsia="zh-CN" w:bidi="ar"/>
        </w:rPr>
        <w:t>6.鼓励回收企业连锁化经营。</w:t>
      </w:r>
      <w:r>
        <w:rPr>
          <w:rFonts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鼓励行业龙头企业通过连锁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经营、特许经营（加盟）、兼并合作等方式，整合中小企业和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个体经营户，扩大回收网络覆盖面，实现规模化发展。充分利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用拾荒人员、社区居民等多方力量，与物业企业、环卫单位等单位建立长效合作机制，畅通回收利用渠道，形成规范有序地回收利用产业链条。引导回收企业按照下游再生原料、再生产品相关标准要求，提升废旧物资回收环节预处理能力。培育多元化回收主体，鼓励有条件的企业以资本、技术、管理、品牌为纽带收编小型回收企业和个体回收人员，实行统一管理和统一结算，实现规模化运作和品牌化经营。</w:t>
      </w:r>
    </w:p>
    <w:p>
      <w:pPr>
        <w:keepNext w:val="0"/>
        <w:keepLines w:val="0"/>
        <w:widowControl/>
        <w:suppressLineNumbers w:val="0"/>
        <w:ind w:firstLine="622" w:firstLineChars="200"/>
        <w:jc w:val="left"/>
      </w:pPr>
      <w:r>
        <w:rPr>
          <w:rFonts w:ascii="楷体" w:hAnsi="楷体" w:eastAsia="楷体" w:cs="楷体"/>
          <w:b/>
          <w:bCs/>
          <w:color w:val="000000"/>
          <w:kern w:val="0"/>
          <w:sz w:val="31"/>
          <w:szCs w:val="31"/>
          <w:lang w:val="en-US" w:eastAsia="zh-CN" w:bidi="ar"/>
        </w:rPr>
        <w:t>7.提升回收行业信息化水平。</w:t>
      </w:r>
      <w:r>
        <w:rPr>
          <w:rFonts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利用互联网、物联网、数字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化技术，引导再生资源回收企业大力发展线上线下相结合的回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收模式，鼓励发展app、微信小程序等移动端回收经营模式，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实现线上“下单和结算”和线下“回收和利用”的智能匹配和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深度融合，推动再生资源“交”与“收”两端的有效对接，提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高再生资源市场交易的便捷度、透明度和灵活度。鼓励头部企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业以废旧家电、废弃电子、废塑料、废金属、废玻璃等为重点，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搭建上游回收网点与下游集散市场的信息匹配、竞价采购和物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流服务的线上平台，推动各环节由单纯的线下交易向线上线下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融合转变，加强网络资源和经营资源有效整合，促进实体回收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企业与电子商务平台优势互补，推进再生资源交易网络转型升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级。</w:t>
      </w:r>
    </w:p>
    <w:p>
      <w:pPr>
        <w:keepNext w:val="0"/>
        <w:keepLines w:val="0"/>
        <w:widowControl/>
        <w:suppressLineNumbers w:val="0"/>
        <w:ind w:firstLine="622" w:firstLineChars="200"/>
        <w:jc w:val="left"/>
      </w:pPr>
      <w:r>
        <w:rPr>
          <w:rFonts w:hint="eastAsia" w:ascii="楷体" w:hAnsi="楷体" w:eastAsia="楷体" w:cs="楷体"/>
          <w:b/>
          <w:bCs/>
          <w:color w:val="000000"/>
          <w:kern w:val="0"/>
          <w:sz w:val="31"/>
          <w:szCs w:val="31"/>
          <w:lang w:val="en-US" w:eastAsia="zh-CN" w:bidi="ar"/>
        </w:rPr>
        <w:t>8</w:t>
      </w:r>
      <w:r>
        <w:rPr>
          <w:rFonts w:ascii="楷体" w:hAnsi="楷体" w:eastAsia="楷体" w:cs="楷体"/>
          <w:b/>
          <w:bCs/>
          <w:color w:val="000000"/>
          <w:kern w:val="0"/>
          <w:sz w:val="31"/>
          <w:szCs w:val="31"/>
          <w:lang w:val="en-US" w:eastAsia="zh-CN" w:bidi="ar"/>
        </w:rPr>
        <w:t>.推行智能自助型回收模式。</w:t>
      </w:r>
      <w:r>
        <w:rPr>
          <w:rFonts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大力推行智能型回收设施进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小区，满足居民交投需求，搭建绿色回收便捷通道，打造智能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型社区回收新环境。鼓励技术能力强、效率高、服务好、对垃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圾减量作用明显的企业与各社区对接，引进智能型回收设施，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与社区回收站（点）形成回收服务优势互补。</w:t>
      </w:r>
    </w:p>
    <w:p>
      <w:pPr>
        <w:keepNext w:val="0"/>
        <w:keepLines w:val="0"/>
        <w:widowControl/>
        <w:suppressLineNumbers w:val="0"/>
        <w:ind w:firstLine="622" w:firstLineChars="200"/>
        <w:jc w:val="left"/>
      </w:pPr>
      <w:r>
        <w:rPr>
          <w:rFonts w:ascii="黑体" w:hAnsi="宋体" w:eastAsia="黑体" w:cs="黑体"/>
          <w:b/>
          <w:bCs/>
          <w:color w:val="000000"/>
          <w:kern w:val="0"/>
          <w:sz w:val="31"/>
          <w:szCs w:val="31"/>
          <w:lang w:val="en-US" w:eastAsia="zh-CN" w:bidi="ar"/>
        </w:rPr>
        <w:t>（</w:t>
      </w:r>
      <w:r>
        <w:rPr>
          <w:rFonts w:hint="eastAsia" w:ascii="黑体" w:hAnsi="宋体" w:eastAsia="黑体" w:cs="黑体"/>
          <w:b/>
          <w:bCs/>
          <w:color w:val="000000"/>
          <w:kern w:val="0"/>
          <w:sz w:val="31"/>
          <w:szCs w:val="31"/>
          <w:lang w:val="en-US" w:eastAsia="zh-CN" w:bidi="ar"/>
        </w:rPr>
        <w:t>三</w:t>
      </w:r>
      <w:r>
        <w:rPr>
          <w:rFonts w:ascii="黑体" w:hAnsi="宋体" w:eastAsia="黑体" w:cs="黑体"/>
          <w:b/>
          <w:bCs/>
          <w:color w:val="000000"/>
          <w:kern w:val="0"/>
          <w:sz w:val="31"/>
          <w:szCs w:val="31"/>
          <w:lang w:val="en-US" w:eastAsia="zh-CN" w:bidi="ar"/>
        </w:rPr>
        <w:t xml:space="preserve">）推进行业管理规范化 </w:t>
      </w:r>
    </w:p>
    <w:p>
      <w:pPr>
        <w:keepNext w:val="0"/>
        <w:keepLines w:val="0"/>
        <w:widowControl/>
        <w:suppressLineNumbers w:val="0"/>
        <w:ind w:firstLine="622" w:firstLineChars="200"/>
        <w:jc w:val="left"/>
      </w:pPr>
      <w:r>
        <w:rPr>
          <w:rFonts w:hint="eastAsia" w:ascii="楷体" w:hAnsi="楷体" w:eastAsia="楷体" w:cs="楷体"/>
          <w:b/>
          <w:bCs/>
          <w:color w:val="000000"/>
          <w:kern w:val="0"/>
          <w:sz w:val="31"/>
          <w:szCs w:val="31"/>
          <w:lang w:val="en-US" w:eastAsia="zh-CN" w:bidi="ar"/>
        </w:rPr>
        <w:t>9</w:t>
      </w:r>
      <w:r>
        <w:rPr>
          <w:rFonts w:ascii="楷体" w:hAnsi="楷体" w:eastAsia="楷体" w:cs="楷体"/>
          <w:b/>
          <w:bCs/>
          <w:color w:val="000000"/>
          <w:kern w:val="0"/>
          <w:sz w:val="31"/>
          <w:szCs w:val="31"/>
          <w:lang w:val="en-US" w:eastAsia="zh-CN" w:bidi="ar"/>
        </w:rPr>
        <w:t>.完善市场管理制度。</w:t>
      </w:r>
      <w:r>
        <w:rPr>
          <w:rFonts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在“无条件准入、登记式备案、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免审批准营、信用制监管”新体制背景下，加大部门合力，强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化执法监督，重点规范整治再生资源企业违反消防、安全、环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保、治安、占道经营等情形，取缔无证无照回收经营站点。按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照属地管理原则，开展网格化摸排，按照证照齐全、合法经营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的要求，规范行业秩序。鼓励企业做大做强，参与回收分拣、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储存转运、加工处理等流程标准、再生资源回收管理办法的制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（修）订。强化行业各环节的污染防治工作，关停环境和安全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不达标的“散乱污”回收站点。鼓励资源回收利用企业开展环</w:t>
      </w:r>
    </w:p>
    <w:p>
      <w:pPr>
        <w:keepNext w:val="0"/>
        <w:keepLines w:val="0"/>
        <w:widowControl/>
        <w:suppressLineNumbers w:val="0"/>
        <w:jc w:val="left"/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境管理体系认证及清洁生产审核。</w:t>
      </w:r>
    </w:p>
    <w:p>
      <w:pPr>
        <w:keepNext w:val="0"/>
        <w:keepLines w:val="0"/>
        <w:widowControl/>
        <w:suppressLineNumbers w:val="0"/>
        <w:ind w:firstLine="622" w:firstLineChars="200"/>
        <w:jc w:val="left"/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</w:pPr>
      <w:r>
        <w:rPr>
          <w:rFonts w:hint="eastAsia" w:ascii="楷体" w:hAnsi="楷体" w:eastAsia="楷体" w:cs="楷体"/>
          <w:b/>
          <w:bCs/>
          <w:color w:val="000000"/>
          <w:kern w:val="0"/>
          <w:sz w:val="31"/>
          <w:szCs w:val="31"/>
          <w:lang w:val="en-US" w:eastAsia="zh-CN" w:bidi="ar"/>
        </w:rPr>
        <w:t>10</w:t>
      </w:r>
      <w:r>
        <w:rPr>
          <w:rFonts w:ascii="楷体" w:hAnsi="楷体" w:eastAsia="楷体" w:cs="楷体"/>
          <w:b/>
          <w:bCs/>
          <w:color w:val="000000"/>
          <w:kern w:val="0"/>
          <w:sz w:val="31"/>
          <w:szCs w:val="31"/>
          <w:lang w:val="en-US" w:eastAsia="zh-CN" w:bidi="ar"/>
        </w:rPr>
        <w:t>.完善区、街道、社区</w:t>
      </w:r>
      <w:r>
        <w:rPr>
          <w:rFonts w:hint="eastAsia" w:ascii="楷体" w:hAnsi="楷体" w:eastAsia="楷体" w:cs="楷体"/>
          <w:b/>
          <w:bCs/>
          <w:color w:val="000000"/>
          <w:kern w:val="0"/>
          <w:sz w:val="31"/>
          <w:szCs w:val="31"/>
          <w:lang w:val="en-US" w:eastAsia="zh-CN" w:bidi="ar"/>
        </w:rPr>
        <w:t>三</w:t>
      </w:r>
      <w:r>
        <w:rPr>
          <w:rFonts w:ascii="楷体" w:hAnsi="楷体" w:eastAsia="楷体" w:cs="楷体"/>
          <w:b/>
          <w:bCs/>
          <w:color w:val="000000"/>
          <w:kern w:val="0"/>
          <w:sz w:val="31"/>
          <w:szCs w:val="31"/>
          <w:lang w:val="en-US" w:eastAsia="zh-CN" w:bidi="ar"/>
        </w:rPr>
        <w:t>级管理架构。</w:t>
      </w:r>
      <w:r>
        <w:rPr>
          <w:rFonts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完善</w:t>
      </w: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政策引导，严抓行业监管，培育“两网融合”运营主体。推动街道落实管理主体责任，全面摸清辖区再生资源回收经营场所，统一管理环卫保洁人员和回收场地设施，加强垃圾分类工作的精细化管理。充分发挥村（居）、物业企业的作用，具体协调组织实施，推动垃圾分类有效落实。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ind w:firstLine="1727" w:firstLineChars="400"/>
        <w:jc w:val="left"/>
      </w:pPr>
      <w:r>
        <w:rPr>
          <w:rFonts w:hint="eastAsia" w:ascii="黑体" w:hAnsi="宋体" w:eastAsia="黑体" w:cs="黑体"/>
          <w:b/>
          <w:bCs/>
          <w:color w:val="000000"/>
          <w:kern w:val="0"/>
          <w:sz w:val="43"/>
          <w:szCs w:val="43"/>
          <w:lang w:val="en-US" w:eastAsia="zh-CN" w:bidi="ar"/>
        </w:rPr>
        <w:t>五</w:t>
      </w:r>
      <w:r>
        <w:rPr>
          <w:rFonts w:ascii="黑体" w:hAnsi="宋体" w:eastAsia="黑体" w:cs="黑体"/>
          <w:b/>
          <w:bCs/>
          <w:color w:val="000000"/>
          <w:kern w:val="0"/>
          <w:sz w:val="43"/>
          <w:szCs w:val="43"/>
          <w:lang w:val="en-US" w:eastAsia="zh-CN" w:bidi="ar"/>
        </w:rPr>
        <w:t>、保障措施</w:t>
      </w:r>
    </w:p>
    <w:p>
      <w:pPr>
        <w:keepNext w:val="0"/>
        <w:keepLines w:val="0"/>
        <w:widowControl/>
        <w:suppressLineNumbers w:val="0"/>
        <w:ind w:firstLine="622" w:firstLineChars="200"/>
        <w:jc w:val="left"/>
        <w:rPr>
          <w:rFonts w:ascii="黑体" w:hAnsi="宋体" w:eastAsia="黑体" w:cs="黑体"/>
          <w:b/>
          <w:bCs/>
          <w:color w:val="000000"/>
          <w:kern w:val="0"/>
          <w:sz w:val="31"/>
          <w:szCs w:val="31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ind w:firstLine="622" w:firstLineChars="200"/>
        <w:jc w:val="left"/>
      </w:pPr>
      <w:r>
        <w:rPr>
          <w:rFonts w:ascii="黑体" w:hAnsi="宋体" w:eastAsia="黑体" w:cs="黑体"/>
          <w:b/>
          <w:bCs/>
          <w:color w:val="000000"/>
          <w:kern w:val="0"/>
          <w:sz w:val="31"/>
          <w:szCs w:val="31"/>
          <w:lang w:val="en-US" w:eastAsia="zh-CN" w:bidi="ar"/>
        </w:rPr>
        <w:t>（一）推进组织协调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</w:pPr>
      <w:r>
        <w:rPr>
          <w:rFonts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建立发改、商务、市政园林、生态环境、</w:t>
      </w: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城管、应急、</w:t>
      </w:r>
      <w:r>
        <w:rPr>
          <w:rFonts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财政、工业和信</w:t>
      </w: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息化、消防、公安、市场监管等主管部门联动合作机制，切实做好再生资源回收管理工作。落实镇街属地管理责任，统筹推进再生资源回收行业发展和网点规划建设。</w:t>
      </w:r>
    </w:p>
    <w:p>
      <w:pPr>
        <w:keepNext w:val="0"/>
        <w:keepLines w:val="0"/>
        <w:widowControl/>
        <w:suppressLineNumbers w:val="0"/>
        <w:ind w:firstLine="622" w:firstLineChars="200"/>
        <w:jc w:val="left"/>
      </w:pPr>
      <w:r>
        <w:rPr>
          <w:rFonts w:ascii="黑体" w:hAnsi="宋体" w:eastAsia="黑体" w:cs="黑体"/>
          <w:b/>
          <w:bCs/>
          <w:color w:val="000000"/>
          <w:kern w:val="0"/>
          <w:sz w:val="31"/>
          <w:szCs w:val="31"/>
          <w:lang w:val="en-US" w:eastAsia="zh-CN" w:bidi="ar"/>
        </w:rPr>
        <w:t>（二）</w:t>
      </w:r>
      <w:r>
        <w:rPr>
          <w:rFonts w:hint="eastAsia" w:ascii="黑体" w:hAnsi="宋体" w:eastAsia="黑体" w:cs="黑体"/>
          <w:b/>
          <w:bCs/>
          <w:color w:val="000000"/>
          <w:kern w:val="0"/>
          <w:sz w:val="31"/>
          <w:szCs w:val="31"/>
          <w:lang w:val="en-US" w:eastAsia="zh-CN" w:bidi="ar"/>
        </w:rPr>
        <w:t>融合产业发展</w:t>
      </w:r>
      <w:r>
        <w:rPr>
          <w:rFonts w:ascii="黑体" w:hAnsi="宋体" w:eastAsia="黑体" w:cs="黑体"/>
          <w:b/>
          <w:bCs/>
          <w:color w:val="000000"/>
          <w:kern w:val="0"/>
          <w:sz w:val="31"/>
          <w:szCs w:val="31"/>
          <w:lang w:val="en-US" w:eastAsia="zh-CN" w:bidi="ar"/>
        </w:rPr>
        <w:t xml:space="preserve"> </w:t>
      </w:r>
    </w:p>
    <w:p>
      <w:pPr>
        <w:keepNext w:val="0"/>
        <w:keepLines w:val="0"/>
        <w:widowControl/>
        <w:suppressLineNumbers w:val="0"/>
        <w:ind w:firstLine="638" w:firstLineChars="200"/>
        <w:jc w:val="left"/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</w:pPr>
      <w:r>
        <w:rPr>
          <w:rFonts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 xml:space="preserve">按照布局合理、 </w:t>
      </w: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产业聚集、土地集约、生态环保要求，合理规划再生资源用地，科学布局和选址。鼓励再生资源企业与国企、村居合作，设置分拣中心和加工处理基地。加大政府绿色采购力度，积极采购再生资源产品。</w:t>
      </w:r>
    </w:p>
    <w:p>
      <w:pPr>
        <w:keepNext w:val="0"/>
        <w:keepLines w:val="0"/>
        <w:widowControl/>
        <w:suppressLineNumbers w:val="0"/>
        <w:ind w:firstLine="622" w:firstLineChars="200"/>
        <w:jc w:val="left"/>
      </w:pPr>
      <w:r>
        <w:rPr>
          <w:rFonts w:ascii="黑体" w:hAnsi="宋体" w:eastAsia="黑体" w:cs="黑体"/>
          <w:b/>
          <w:bCs/>
          <w:color w:val="000000"/>
          <w:kern w:val="0"/>
          <w:sz w:val="31"/>
          <w:szCs w:val="31"/>
          <w:lang w:val="en-US" w:eastAsia="zh-CN" w:bidi="ar"/>
        </w:rPr>
        <w:t>（</w:t>
      </w:r>
      <w:r>
        <w:rPr>
          <w:rFonts w:hint="eastAsia" w:ascii="黑体" w:hAnsi="宋体" w:eastAsia="黑体" w:cs="黑体"/>
          <w:b/>
          <w:bCs/>
          <w:color w:val="000000"/>
          <w:kern w:val="0"/>
          <w:sz w:val="31"/>
          <w:szCs w:val="31"/>
          <w:lang w:val="en-US" w:eastAsia="zh-CN" w:bidi="ar"/>
        </w:rPr>
        <w:t>三</w:t>
      </w:r>
      <w:r>
        <w:rPr>
          <w:rFonts w:ascii="黑体" w:hAnsi="宋体" w:eastAsia="黑体" w:cs="黑体"/>
          <w:b/>
          <w:bCs/>
          <w:color w:val="000000"/>
          <w:kern w:val="0"/>
          <w:sz w:val="31"/>
          <w:szCs w:val="31"/>
          <w:lang w:val="en-US" w:eastAsia="zh-CN" w:bidi="ar"/>
        </w:rPr>
        <w:t xml:space="preserve">）加强宣传推广 </w:t>
      </w:r>
    </w:p>
    <w:p>
      <w:pPr>
        <w:keepNext w:val="0"/>
        <w:keepLines w:val="0"/>
        <w:widowControl/>
        <w:suppressLineNumbers w:val="0"/>
        <w:ind w:firstLine="620" w:firstLineChars="200"/>
        <w:jc w:val="left"/>
      </w:pPr>
      <w:r>
        <w:rPr>
          <w:rFonts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借助厦门日报、厦门电视台等传统媒体，以及“i厦门”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微信公众平台、“新浪厦门”微博等新媒体及民间环保组织，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开展形式多样的科学宣传和知识普及活动，增强市民环保意识，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倡导绿色低碳、环保健康、循环利用的生产生活方式；充分发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挥舆论导向和信息传播作用，讲好再生资源行业低碳发展故事，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积极宣扬先进典型，提高行业人员从业自信；专题报道再生资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源回收行业整治、网点规划建设及行业自律规约，引导再生资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源回收行业从业人员依法守规经营；培育或引进再生资源回收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龙头示范企业，发挥典型带动效应，为行业规范建设树标立杆，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  <w:t>为再生资源行业实现“双碳”目标营造良好氛围。</w:t>
      </w:r>
    </w:p>
    <w:p>
      <w:pPr>
        <w:keepNext w:val="0"/>
        <w:keepLines w:val="0"/>
        <w:widowControl/>
        <w:suppressLineNumbers w:val="0"/>
        <w:jc w:val="left"/>
        <w:rPr>
          <w:rFonts w:hint="eastAsia" w:ascii="仿宋_GB2312" w:hAnsi="宋体" w:eastAsia="仿宋_GB2312" w:cs="仿宋_GB2312"/>
          <w:color w:val="000000"/>
          <w:kern w:val="0"/>
          <w:sz w:val="31"/>
          <w:szCs w:val="31"/>
          <w:lang w:val="en-US" w:eastAsia="zh-CN" w:bidi="ar"/>
        </w:rPr>
      </w:pPr>
    </w:p>
    <w:p/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FZSongS-Extended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U5NjRlOTUzYTMzYmY2ZTE5ODA1OGVkNDRhNDc2NWUifQ=="/>
  </w:docVars>
  <w:rsids>
    <w:rsidRoot w:val="5F5F635E"/>
    <w:rsid w:val="00501EE6"/>
    <w:rsid w:val="019978BC"/>
    <w:rsid w:val="09483348"/>
    <w:rsid w:val="0CC779D3"/>
    <w:rsid w:val="17005FBC"/>
    <w:rsid w:val="1C4508ED"/>
    <w:rsid w:val="271909D4"/>
    <w:rsid w:val="2CB03B88"/>
    <w:rsid w:val="33461733"/>
    <w:rsid w:val="35C44201"/>
    <w:rsid w:val="36527A5E"/>
    <w:rsid w:val="38080D1C"/>
    <w:rsid w:val="3A1E06E8"/>
    <w:rsid w:val="3E815385"/>
    <w:rsid w:val="3E8D1D3C"/>
    <w:rsid w:val="3F03223E"/>
    <w:rsid w:val="3F177A97"/>
    <w:rsid w:val="42132798"/>
    <w:rsid w:val="44EC107E"/>
    <w:rsid w:val="45E22BAD"/>
    <w:rsid w:val="4B4B2FA2"/>
    <w:rsid w:val="4E0D2791"/>
    <w:rsid w:val="51DC2BA6"/>
    <w:rsid w:val="52884ADC"/>
    <w:rsid w:val="53065A01"/>
    <w:rsid w:val="5F5F635E"/>
    <w:rsid w:val="63253C81"/>
    <w:rsid w:val="654F4B68"/>
    <w:rsid w:val="663E56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2024-03-20T06:53:00Z</dcterms:created>
  <dc:creator>南子</dc:creator>
  <cp:lastModifiedBy>南子</cp:lastModifiedBy>
  <cp:lastPrinted>2024-04-10T00:22:00Z</cp:lastPrinted>
  <dcterms:modified xsi:type="dcterms:W3CDTF">2024-04-10T00:56:59Z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06B5D2B5B2EA4C04806274F6919D2BDF_13</vt:lpwstr>
  </property>
</Properties>
</file>