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widowControl/>
        <w:adjustRightInd w:val="0"/>
        <w:snapToGrid w:val="0"/>
        <w:spacing w:before="0" w:beforeAutospacing="0" w:after="0" w:afterAutospacing="0" w:line="590" w:lineRule="exact"/>
        <w:ind w:left="0" w:leftChars="0" w:firstLine="0" w:firstLineChars="0"/>
        <w:jc w:val="both"/>
        <w:rPr>
          <w:rFonts w:hint="eastAsia" w:ascii="方正小标宋简体" w:hAnsi="方正小标宋简体" w:eastAsia="黑体" w:cs="方正小标宋简体"/>
          <w:sz w:val="44"/>
          <w:szCs w:val="44"/>
          <w:lang w:val="en-US" w:eastAsia="zh-CN"/>
        </w:rPr>
      </w:pPr>
      <w:r>
        <w:rPr>
          <w:rFonts w:ascii="黑体" w:hAnsi="黑体" w:eastAsia="黑体" w:cs="仿宋_GB2312"/>
          <w:kern w:val="2"/>
          <w:sz w:val="32"/>
          <w:szCs w:val="32"/>
        </w:rPr>
        <w:t>附件</w:t>
      </w:r>
      <w:r>
        <w:rPr>
          <w:rFonts w:hint="eastAsia" w:ascii="黑体" w:hAnsi="黑体" w:eastAsia="黑体" w:cs="仿宋_GB2312"/>
          <w:kern w:val="2"/>
          <w:sz w:val="32"/>
          <w:szCs w:val="32"/>
          <w:lang w:val="en-US" w:eastAsia="zh-CN"/>
        </w:rPr>
        <w:t>1</w:t>
      </w:r>
    </w:p>
    <w:p>
      <w:pPr>
        <w:ind w:firstLine="0" w:firstLineChars="0"/>
        <w:jc w:val="center"/>
        <w:rPr>
          <w:rFonts w:hint="eastAsia" w:ascii="方正小标宋简体" w:hAnsi="方正小标宋简体" w:eastAsia="方正小标宋简体" w:cs="方正小标宋简体"/>
          <w:color w:val="auto"/>
          <w:sz w:val="44"/>
          <w:szCs w:val="44"/>
          <w:highlight w:val="none"/>
          <w:lang w:val="en-US" w:eastAsia="zh-CN"/>
        </w:rPr>
      </w:pPr>
    </w:p>
    <w:p>
      <w:pPr>
        <w:ind w:firstLine="0" w:firstLineChars="0"/>
        <w:jc w:val="center"/>
        <w:rPr>
          <w:rFonts w:hint="eastAsia" w:ascii="方正小标宋简体" w:hAnsi="方正小标宋简体" w:eastAsia="方正小标宋简体" w:cs="方正小标宋简体"/>
          <w:color w:val="auto"/>
          <w:sz w:val="44"/>
          <w:szCs w:val="44"/>
          <w:highlight w:val="none"/>
          <w:lang w:val="en-US" w:eastAsia="zh-CN"/>
        </w:rPr>
      </w:pPr>
      <w:r>
        <w:rPr>
          <w:rFonts w:hint="eastAsia" w:ascii="方正小标宋简体" w:hAnsi="方正小标宋简体" w:eastAsia="方正小标宋简体" w:cs="方正小标宋简体"/>
          <w:color w:val="auto"/>
          <w:sz w:val="44"/>
          <w:szCs w:val="44"/>
          <w:highlight w:val="none"/>
          <w:lang w:val="en-US" w:eastAsia="zh-CN"/>
        </w:rPr>
        <w:t>关于实现</w:t>
      </w:r>
      <w:r>
        <w:rPr>
          <w:rFonts w:hint="eastAsia" w:ascii="方正小标宋简体" w:hAnsi="方正小标宋简体" w:eastAsia="方正小标宋简体" w:cs="方正小标宋简体"/>
          <w:color w:val="auto"/>
          <w:sz w:val="44"/>
          <w:szCs w:val="44"/>
          <w:highlight w:val="none"/>
        </w:rPr>
        <w:t>2025年一季度</w:t>
      </w:r>
      <w:r>
        <w:rPr>
          <w:rFonts w:hint="eastAsia" w:ascii="方正小标宋简体" w:hAnsi="方正小标宋简体" w:eastAsia="方正小标宋简体" w:cs="方正小标宋简体"/>
          <w:color w:val="auto"/>
          <w:sz w:val="44"/>
          <w:szCs w:val="44"/>
          <w:highlight w:val="none"/>
          <w:lang w:val="en-US" w:eastAsia="zh-CN"/>
        </w:rPr>
        <w:t>经济社会发展良好</w:t>
      </w:r>
    </w:p>
    <w:p>
      <w:pPr>
        <w:ind w:firstLine="0" w:firstLineChars="0"/>
        <w:jc w:val="center"/>
        <w:rPr>
          <w:rFonts w:hint="eastAsia" w:ascii="方正小标宋简体" w:hAnsi="方正小标宋简体" w:eastAsia="方正小标宋简体" w:cs="方正小标宋简体"/>
          <w:color w:val="auto"/>
          <w:sz w:val="44"/>
          <w:szCs w:val="44"/>
          <w:highlight w:val="none"/>
        </w:rPr>
      </w:pPr>
      <w:r>
        <w:rPr>
          <w:rFonts w:hint="eastAsia" w:ascii="方正小标宋简体" w:hAnsi="方正小标宋简体" w:eastAsia="方正小标宋简体" w:cs="方正小标宋简体"/>
          <w:color w:val="auto"/>
          <w:sz w:val="44"/>
          <w:szCs w:val="44"/>
          <w:highlight w:val="none"/>
          <w:lang w:val="en-US" w:eastAsia="zh-CN"/>
        </w:rPr>
        <w:t>开局的</w:t>
      </w:r>
      <w:r>
        <w:rPr>
          <w:rFonts w:hint="eastAsia" w:ascii="方正小标宋简体" w:hAnsi="方正小标宋简体" w:eastAsia="方正小标宋简体" w:cs="方正小标宋简体"/>
          <w:color w:val="auto"/>
          <w:sz w:val="44"/>
          <w:szCs w:val="44"/>
          <w:highlight w:val="none"/>
        </w:rPr>
        <w:t>若干措施</w:t>
      </w:r>
    </w:p>
    <w:p>
      <w:pPr>
        <w:ind w:firstLine="0" w:firstLineChars="0"/>
        <w:jc w:val="center"/>
        <w:rPr>
          <w:rFonts w:hint="eastAsia" w:ascii="楷体_GB2312" w:hAnsi="楷体_GB2312" w:eastAsia="楷体_GB2312" w:cs="楷体_GB2312"/>
          <w:color w:val="auto"/>
          <w:sz w:val="32"/>
          <w:szCs w:val="32"/>
          <w:highlight w:val="none"/>
          <w:lang w:val="en-US" w:eastAsia="zh-CN"/>
        </w:rPr>
      </w:pPr>
      <w:r>
        <w:rPr>
          <w:rFonts w:hint="eastAsia" w:ascii="楷体_GB2312" w:hAnsi="楷体_GB2312" w:eastAsia="楷体_GB2312" w:cs="楷体_GB2312"/>
          <w:color w:val="auto"/>
          <w:sz w:val="32"/>
          <w:szCs w:val="32"/>
          <w:highlight w:val="none"/>
          <w:lang w:eastAsia="zh-CN"/>
        </w:rPr>
        <w:t>（</w:t>
      </w:r>
      <w:r>
        <w:rPr>
          <w:rFonts w:hint="eastAsia" w:ascii="楷体_GB2312" w:hAnsi="楷体_GB2312" w:eastAsia="楷体_GB2312" w:cs="楷体_GB2312"/>
          <w:color w:val="auto"/>
          <w:sz w:val="32"/>
          <w:szCs w:val="32"/>
          <w:highlight w:val="none"/>
          <w:lang w:val="en-US" w:eastAsia="zh-CN"/>
        </w:rPr>
        <w:t>征求意见稿）</w:t>
      </w:r>
    </w:p>
    <w:p>
      <w:pPr>
        <w:ind w:firstLine="0" w:firstLineChars="0"/>
        <w:rPr>
          <w:rFonts w:hint="default" w:ascii="Times New Roman" w:hAnsi="Times New Roman" w:cs="Times New Roman"/>
          <w:color w:val="auto"/>
          <w:highlight w:val="none"/>
        </w:rPr>
      </w:pPr>
      <w:bookmarkStart w:id="0" w:name="_GoBack"/>
      <w:bookmarkEnd w:id="0"/>
    </w:p>
    <w:p>
      <w:pPr>
        <w:spacing w:line="240" w:lineRule="auto"/>
        <w:ind w:firstLine="640" w:firstLineChars="200"/>
        <w:jc w:val="both"/>
        <w:rPr>
          <w:rFonts w:hint="default" w:ascii="Times New Roman" w:hAnsi="Times New Roman" w:cs="Times New Roman"/>
          <w:color w:val="auto"/>
          <w:highlight w:val="none"/>
          <w:lang w:eastAsia="zh-CN"/>
        </w:rPr>
      </w:pPr>
      <w:r>
        <w:rPr>
          <w:rFonts w:hint="default" w:ascii="Times New Roman" w:hAnsi="Times New Roman" w:cs="Times New Roman"/>
          <w:color w:val="auto"/>
          <w:highlight w:val="none"/>
          <w:lang w:eastAsia="zh-CN"/>
        </w:rPr>
        <w:t>为深入学习贯彻习近平总书记在福建、厦门考察时的重要讲话精神，全面落实中央经济工作会议精神，贯彻落实省、</w:t>
      </w:r>
      <w:r>
        <w:rPr>
          <w:rFonts w:hint="default" w:ascii="Times New Roman" w:hAnsi="Times New Roman" w:cs="Times New Roman"/>
          <w:color w:val="auto"/>
          <w:highlight w:val="none"/>
          <w:lang w:val="en-US" w:eastAsia="zh-CN"/>
        </w:rPr>
        <w:t>市</w:t>
      </w:r>
      <w:r>
        <w:rPr>
          <w:rFonts w:hint="default" w:ascii="Times New Roman" w:hAnsi="Times New Roman" w:cs="Times New Roman"/>
          <w:color w:val="auto"/>
          <w:highlight w:val="none"/>
          <w:lang w:eastAsia="zh-CN"/>
        </w:rPr>
        <w:t>工作要求，推动我</w:t>
      </w:r>
      <w:r>
        <w:rPr>
          <w:rFonts w:hint="default" w:ascii="Times New Roman" w:hAnsi="Times New Roman" w:cs="Times New Roman"/>
          <w:color w:val="auto"/>
          <w:highlight w:val="none"/>
          <w:lang w:val="en-US" w:eastAsia="zh-CN"/>
        </w:rPr>
        <w:t>区2025年一季度</w:t>
      </w:r>
      <w:r>
        <w:rPr>
          <w:rFonts w:hint="default" w:ascii="Times New Roman" w:hAnsi="Times New Roman" w:cs="Times New Roman"/>
          <w:color w:val="auto"/>
          <w:highlight w:val="none"/>
          <w:lang w:eastAsia="zh-CN"/>
        </w:rPr>
        <w:t>经济运行实现</w:t>
      </w:r>
      <w:r>
        <w:rPr>
          <w:rFonts w:hint="eastAsia" w:ascii="Times New Roman" w:hAnsi="Times New Roman" w:cs="Times New Roman"/>
          <w:color w:val="auto"/>
          <w:highlight w:val="none"/>
          <w:lang w:eastAsia="zh-CN"/>
        </w:rPr>
        <w:t>“开门红”</w:t>
      </w:r>
      <w:r>
        <w:rPr>
          <w:rFonts w:hint="default" w:ascii="Times New Roman" w:hAnsi="Times New Roman" w:cs="Times New Roman"/>
          <w:color w:val="auto"/>
          <w:highlight w:val="none"/>
          <w:lang w:eastAsia="zh-CN"/>
        </w:rPr>
        <w:t>“开门稳”，为完成全年目标任务打下坚实基础，特制定本工作措施。</w:t>
      </w:r>
    </w:p>
    <w:p>
      <w:pPr>
        <w:numPr>
          <w:ilvl w:val="0"/>
          <w:numId w:val="0"/>
        </w:numPr>
        <w:ind w:firstLine="640" w:firstLineChars="200"/>
        <w:rPr>
          <w:rFonts w:hint="default" w:ascii="Times New Roman" w:hAnsi="Times New Roman" w:eastAsia="黑体" w:cs="Times New Roman"/>
          <w:color w:val="auto"/>
          <w:highlight w:val="none"/>
          <w:lang w:val="en-US" w:eastAsia="zh-CN"/>
        </w:rPr>
      </w:pPr>
      <w:r>
        <w:rPr>
          <w:rFonts w:hint="eastAsia" w:ascii="Times New Roman" w:hAnsi="Times New Roman" w:eastAsia="黑体" w:cs="Times New Roman"/>
          <w:color w:val="auto"/>
          <w:highlight w:val="none"/>
          <w:lang w:eastAsia="zh-CN"/>
        </w:rPr>
        <w:t>一</w:t>
      </w:r>
      <w:r>
        <w:rPr>
          <w:rFonts w:hint="default" w:ascii="Times New Roman" w:hAnsi="Times New Roman" w:eastAsia="黑体" w:cs="Times New Roman"/>
          <w:color w:val="auto"/>
          <w:highlight w:val="none"/>
          <w:lang w:eastAsia="zh-CN"/>
        </w:rPr>
        <w:t>、</w:t>
      </w:r>
      <w:r>
        <w:rPr>
          <w:rFonts w:hint="eastAsia" w:ascii="Times New Roman" w:hAnsi="Times New Roman" w:eastAsia="黑体" w:cs="Times New Roman"/>
          <w:color w:val="auto"/>
          <w:highlight w:val="none"/>
          <w:lang w:val="en-US" w:eastAsia="zh-CN"/>
        </w:rPr>
        <w:t>促进</w:t>
      </w:r>
      <w:r>
        <w:rPr>
          <w:rFonts w:hint="default" w:ascii="Times New Roman" w:hAnsi="Times New Roman" w:eastAsia="黑体" w:cs="Times New Roman"/>
          <w:color w:val="auto"/>
          <w:highlight w:val="none"/>
        </w:rPr>
        <w:t>工业</w:t>
      </w:r>
      <w:r>
        <w:rPr>
          <w:rFonts w:hint="eastAsia" w:ascii="Times New Roman" w:hAnsi="Times New Roman" w:eastAsia="黑体" w:cs="Times New Roman"/>
          <w:color w:val="auto"/>
          <w:highlight w:val="none"/>
          <w:lang w:eastAsia="zh-CN"/>
        </w:rPr>
        <w:t>稳定</w:t>
      </w:r>
      <w:r>
        <w:rPr>
          <w:rFonts w:hint="eastAsia" w:ascii="Times New Roman" w:hAnsi="Times New Roman" w:eastAsia="黑体" w:cs="Times New Roman"/>
          <w:color w:val="auto"/>
          <w:highlight w:val="none"/>
          <w:lang w:val="en-US" w:eastAsia="zh-CN"/>
        </w:rPr>
        <w:t>增长</w:t>
      </w:r>
    </w:p>
    <w:p>
      <w:pPr>
        <w:ind w:firstLine="643"/>
        <w:rPr>
          <w:rFonts w:hint="default" w:ascii="Times New Roman" w:hAnsi="Times New Roman" w:cs="Times New Roman"/>
          <w:b/>
          <w:bCs/>
          <w:color w:val="auto"/>
          <w:highlight w:val="none"/>
        </w:rPr>
      </w:pPr>
      <w:r>
        <w:rPr>
          <w:rFonts w:hint="eastAsia" w:ascii="Times New Roman" w:hAnsi="Times New Roman" w:cs="Times New Roman"/>
          <w:b/>
          <w:bCs/>
          <w:color w:val="auto"/>
          <w:highlight w:val="none"/>
          <w:lang w:val="en-US" w:eastAsia="zh-CN"/>
        </w:rPr>
        <w:t>1</w:t>
      </w:r>
      <w:r>
        <w:rPr>
          <w:rFonts w:hint="default" w:ascii="Times New Roman" w:hAnsi="Times New Roman" w:cs="Times New Roman"/>
          <w:b/>
          <w:bCs/>
          <w:color w:val="auto"/>
          <w:highlight w:val="none"/>
        </w:rPr>
        <w:t>.推动工业经济高质量发展。</w:t>
      </w:r>
      <w:r>
        <w:rPr>
          <w:rFonts w:hint="eastAsia" w:ascii="Times New Roman" w:hAnsi="Times New Roman" w:cs="Times New Roman"/>
          <w:b w:val="0"/>
          <w:bCs w:val="0"/>
          <w:color w:val="auto"/>
          <w:highlight w:val="none"/>
          <w:lang w:eastAsia="zh-CN"/>
        </w:rPr>
        <w:t>落实</w:t>
      </w:r>
      <w:r>
        <w:rPr>
          <w:rFonts w:hint="default" w:ascii="Times New Roman" w:hAnsi="Times New Roman" w:cs="Times New Roman"/>
          <w:b w:val="0"/>
          <w:bCs w:val="0"/>
          <w:color w:val="auto"/>
          <w:highlight w:val="none"/>
        </w:rPr>
        <w:t>工业经济高质量发展量化评比</w:t>
      </w:r>
      <w:r>
        <w:rPr>
          <w:rFonts w:hint="eastAsia" w:ascii="Times New Roman" w:hAnsi="Times New Roman" w:cs="Times New Roman"/>
          <w:b w:val="0"/>
          <w:bCs w:val="0"/>
          <w:color w:val="auto"/>
          <w:highlight w:val="none"/>
          <w:lang w:eastAsia="zh-CN"/>
        </w:rPr>
        <w:t>、</w:t>
      </w:r>
      <w:r>
        <w:rPr>
          <w:rFonts w:hint="default" w:ascii="Times New Roman" w:hAnsi="Times New Roman" w:cs="Times New Roman"/>
          <w:b w:val="0"/>
          <w:bCs w:val="0"/>
          <w:color w:val="auto"/>
          <w:highlight w:val="none"/>
        </w:rPr>
        <w:t>促进工业增产增效</w:t>
      </w:r>
      <w:r>
        <w:rPr>
          <w:rFonts w:hint="eastAsia" w:ascii="Times New Roman" w:hAnsi="Times New Roman" w:cs="Times New Roman"/>
          <w:b w:val="0"/>
          <w:bCs w:val="0"/>
          <w:color w:val="auto"/>
          <w:highlight w:val="none"/>
          <w:lang w:eastAsia="zh-CN"/>
        </w:rPr>
        <w:t>等工作</w:t>
      </w:r>
      <w:r>
        <w:rPr>
          <w:rFonts w:hint="default" w:ascii="Times New Roman" w:hAnsi="Times New Roman" w:cs="Times New Roman"/>
          <w:b w:val="0"/>
          <w:bCs w:val="0"/>
          <w:color w:val="auto"/>
          <w:highlight w:val="none"/>
        </w:rPr>
        <w:t>，对符合条件的工业企业，按其综合经济贡献情况给予奖补。</w:t>
      </w:r>
      <w:r>
        <w:rPr>
          <w:rFonts w:hint="default" w:ascii="Times New Roman" w:hAnsi="Times New Roman" w:eastAsia="楷体_GB2312" w:cs="Times New Roman"/>
          <w:color w:val="auto"/>
          <w:highlight w:val="none"/>
        </w:rPr>
        <w:t>（责任单位：</w:t>
      </w:r>
      <w:r>
        <w:rPr>
          <w:rFonts w:hint="default" w:ascii="Times New Roman" w:hAnsi="Times New Roman" w:eastAsia="楷体_GB2312" w:cs="Times New Roman"/>
          <w:color w:val="auto"/>
          <w:highlight w:val="none"/>
          <w:lang w:val="en-US" w:eastAsia="zh-CN"/>
        </w:rPr>
        <w:t>区科技和</w:t>
      </w:r>
      <w:r>
        <w:rPr>
          <w:rFonts w:hint="default" w:ascii="Times New Roman" w:hAnsi="Times New Roman" w:eastAsia="楷体_GB2312" w:cs="Times New Roman"/>
          <w:color w:val="auto"/>
          <w:highlight w:val="none"/>
        </w:rPr>
        <w:t>工信</w:t>
      </w:r>
      <w:r>
        <w:rPr>
          <w:rFonts w:hint="default" w:ascii="Times New Roman" w:hAnsi="Times New Roman" w:eastAsia="楷体_GB2312" w:cs="Times New Roman"/>
          <w:color w:val="auto"/>
          <w:highlight w:val="none"/>
          <w:lang w:val="en-US" w:eastAsia="zh-CN"/>
        </w:rPr>
        <w:t>商务</w:t>
      </w:r>
      <w:r>
        <w:rPr>
          <w:rFonts w:hint="default" w:ascii="Times New Roman" w:hAnsi="Times New Roman" w:eastAsia="楷体_GB2312" w:cs="Times New Roman"/>
          <w:color w:val="auto"/>
          <w:highlight w:val="none"/>
        </w:rPr>
        <w:t>局，各</w:t>
      </w:r>
      <w:r>
        <w:rPr>
          <w:rFonts w:hint="default" w:ascii="Times New Roman" w:hAnsi="Times New Roman" w:eastAsia="楷体_GB2312" w:cs="Times New Roman"/>
          <w:color w:val="auto"/>
          <w:highlight w:val="none"/>
          <w:lang w:val="en-US" w:eastAsia="zh-CN"/>
        </w:rPr>
        <w:t>镇街</w:t>
      </w:r>
      <w:r>
        <w:rPr>
          <w:rFonts w:hint="default" w:ascii="Times New Roman" w:hAnsi="Times New Roman" w:eastAsia="楷体_GB2312" w:cs="Times New Roman"/>
          <w:color w:val="auto"/>
          <w:highlight w:val="none"/>
        </w:rPr>
        <w:t>）</w:t>
      </w:r>
    </w:p>
    <w:p>
      <w:pPr>
        <w:pStyle w:val="14"/>
        <w:rPr>
          <w:rFonts w:hint="default" w:ascii="Times New Roman" w:hAnsi="Times New Roman" w:eastAsia="楷体_GB2312" w:cs="Times New Roman"/>
          <w:bCs w:val="0"/>
          <w:color w:val="auto"/>
          <w:kern w:val="2"/>
          <w:sz w:val="32"/>
          <w:szCs w:val="24"/>
          <w:highlight w:val="none"/>
          <w:lang w:val="en-US" w:eastAsia="zh-CN" w:bidi="ar-SA"/>
        </w:rPr>
      </w:pPr>
      <w:r>
        <w:rPr>
          <w:rFonts w:hint="eastAsia" w:ascii="Times New Roman" w:hAnsi="Times New Roman" w:cs="Times New Roman"/>
          <w:b/>
          <w:bCs/>
          <w:color w:val="auto"/>
          <w:sz w:val="32"/>
          <w:szCs w:val="32"/>
          <w:highlight w:val="none"/>
          <w:lang w:val="en-US" w:eastAsia="zh-CN"/>
        </w:rPr>
        <w:t>2</w:t>
      </w:r>
      <w:r>
        <w:rPr>
          <w:rFonts w:hint="default" w:ascii="Times New Roman" w:hAnsi="Times New Roman" w:cs="Times New Roman"/>
          <w:b/>
          <w:bCs/>
          <w:color w:val="auto"/>
          <w:sz w:val="32"/>
          <w:szCs w:val="32"/>
          <w:highlight w:val="none"/>
          <w:lang w:val="en-US" w:eastAsia="zh-CN"/>
        </w:rPr>
        <w:t>.</w:t>
      </w:r>
      <w:r>
        <w:rPr>
          <w:rFonts w:hint="default" w:ascii="Times New Roman" w:hAnsi="Times New Roman" w:eastAsia="仿宋_GB2312" w:cs="Times New Roman"/>
          <w:b/>
          <w:bCs/>
          <w:color w:val="auto"/>
          <w:sz w:val="32"/>
          <w:szCs w:val="32"/>
          <w:highlight w:val="none"/>
        </w:rPr>
        <w:t>加</w:t>
      </w:r>
      <w:r>
        <w:rPr>
          <w:rFonts w:hint="default" w:ascii="Times New Roman" w:hAnsi="Times New Roman" w:eastAsia="仿宋_GB2312" w:cs="Times New Roman"/>
          <w:b/>
          <w:bCs/>
          <w:color w:val="auto"/>
          <w:kern w:val="2"/>
          <w:sz w:val="32"/>
          <w:szCs w:val="24"/>
          <w:highlight w:val="none"/>
          <w:lang w:val="en-US" w:eastAsia="zh-CN" w:bidi="ar-SA"/>
        </w:rPr>
        <w:t>大“小升规”企业培育</w:t>
      </w:r>
      <w:r>
        <w:rPr>
          <w:rFonts w:hint="eastAsia" w:ascii="Times New Roman" w:hAnsi="Times New Roman" w:eastAsia="仿宋_GB2312" w:cs="Times New Roman"/>
          <w:b/>
          <w:bCs/>
          <w:color w:val="auto"/>
          <w:kern w:val="2"/>
          <w:sz w:val="32"/>
          <w:szCs w:val="24"/>
          <w:highlight w:val="none"/>
          <w:lang w:val="en-US" w:eastAsia="zh-CN" w:bidi="ar-SA"/>
        </w:rPr>
        <w:t>支持</w:t>
      </w:r>
      <w:r>
        <w:rPr>
          <w:rFonts w:hint="default" w:ascii="Times New Roman" w:hAnsi="Times New Roman" w:eastAsia="仿宋_GB2312" w:cs="Times New Roman"/>
          <w:b/>
          <w:bCs/>
          <w:color w:val="auto"/>
          <w:kern w:val="2"/>
          <w:sz w:val="32"/>
          <w:szCs w:val="24"/>
          <w:highlight w:val="none"/>
          <w:lang w:val="en-US" w:eastAsia="zh-CN" w:bidi="ar-SA"/>
        </w:rPr>
        <w:t>力度</w:t>
      </w:r>
      <w:r>
        <w:rPr>
          <w:rFonts w:hint="default" w:ascii="Times New Roman" w:hAnsi="Times New Roman" w:eastAsia="仿宋_GB2312" w:cs="Times New Roman"/>
          <w:b/>
          <w:bCs/>
          <w:color w:val="auto"/>
          <w:sz w:val="32"/>
          <w:szCs w:val="32"/>
          <w:highlight w:val="none"/>
          <w:lang w:eastAsia="zh-CN"/>
        </w:rPr>
        <w:t>。</w:t>
      </w:r>
      <w:r>
        <w:rPr>
          <w:rFonts w:hint="default" w:ascii="Times New Roman" w:hAnsi="Times New Roman" w:eastAsia="仿宋_GB2312" w:cs="Times New Roman"/>
          <w:b w:val="0"/>
          <w:bCs w:val="0"/>
          <w:color w:val="auto"/>
          <w:sz w:val="32"/>
          <w:szCs w:val="32"/>
          <w:highlight w:val="none"/>
          <w:lang w:eastAsia="zh-CN"/>
        </w:rPr>
        <w:t>延续“小升规”企业奖励政策，对2022-2024年首次入统的企业按奖励措施标准给予奖励。配合市级做好规下企业政策辅导及业务培训，推动更多小微企业提档升级、增产增效，鼓励支持企业</w:t>
      </w:r>
      <w:r>
        <w:rPr>
          <w:rFonts w:hint="default" w:ascii="Times New Roman" w:hAnsi="Times New Roman" w:eastAsia="仿宋_GB2312" w:cs="Times New Roman"/>
          <w:b w:val="0"/>
          <w:bCs w:val="0"/>
          <w:color w:val="auto"/>
          <w:sz w:val="32"/>
          <w:szCs w:val="32"/>
          <w:highlight w:val="none"/>
        </w:rPr>
        <w:t>“小升规”</w:t>
      </w:r>
      <w:r>
        <w:rPr>
          <w:rFonts w:hint="default" w:ascii="Times New Roman" w:hAnsi="Times New Roman" w:eastAsia="仿宋_GB2312" w:cs="Times New Roman"/>
          <w:b w:val="0"/>
          <w:bCs w:val="0"/>
          <w:color w:val="auto"/>
          <w:sz w:val="32"/>
          <w:szCs w:val="32"/>
          <w:highlight w:val="none"/>
          <w:lang w:eastAsia="zh-CN"/>
        </w:rPr>
        <w:t>。</w:t>
      </w:r>
      <w:r>
        <w:rPr>
          <w:rFonts w:hint="default" w:ascii="Times New Roman" w:hAnsi="Times New Roman" w:eastAsia="楷体_GB2312" w:cs="Times New Roman"/>
          <w:bCs w:val="0"/>
          <w:color w:val="auto"/>
          <w:kern w:val="2"/>
          <w:sz w:val="32"/>
          <w:szCs w:val="24"/>
          <w:highlight w:val="none"/>
          <w:lang w:val="en-US" w:eastAsia="zh-CN" w:bidi="ar-SA"/>
        </w:rPr>
        <w:t>（责任单位：区科技和工信商务局</w:t>
      </w:r>
      <w:r>
        <w:rPr>
          <w:rFonts w:hint="eastAsia" w:ascii="Times New Roman" w:hAnsi="Times New Roman" w:eastAsia="楷体_GB2312" w:cs="Times New Roman"/>
          <w:bCs w:val="0"/>
          <w:color w:val="auto"/>
          <w:kern w:val="2"/>
          <w:sz w:val="32"/>
          <w:szCs w:val="24"/>
          <w:highlight w:val="none"/>
          <w:lang w:val="en-US" w:eastAsia="zh-CN" w:bidi="ar-SA"/>
        </w:rPr>
        <w:t>，各镇街</w:t>
      </w:r>
      <w:r>
        <w:rPr>
          <w:rFonts w:hint="default" w:ascii="Times New Roman" w:hAnsi="Times New Roman" w:eastAsia="楷体_GB2312" w:cs="Times New Roman"/>
          <w:bCs w:val="0"/>
          <w:color w:val="auto"/>
          <w:kern w:val="2"/>
          <w:sz w:val="32"/>
          <w:szCs w:val="24"/>
          <w:highlight w:val="none"/>
          <w:lang w:val="en-US" w:eastAsia="zh-CN" w:bidi="ar-SA"/>
        </w:rPr>
        <w:t>）</w:t>
      </w:r>
    </w:p>
    <w:p>
      <w:pPr>
        <w:ind w:left="640" w:leftChars="200" w:firstLine="0" w:firstLineChars="0"/>
        <w:rPr>
          <w:rFonts w:hint="default" w:ascii="Times New Roman" w:hAnsi="Times New Roman" w:eastAsia="黑体" w:cs="Times New Roman"/>
          <w:color w:val="auto"/>
          <w:highlight w:val="none"/>
        </w:rPr>
      </w:pPr>
      <w:r>
        <w:rPr>
          <w:rFonts w:hint="eastAsia" w:ascii="Times New Roman" w:hAnsi="Times New Roman" w:eastAsia="黑体" w:cs="Times New Roman"/>
          <w:color w:val="auto"/>
          <w:highlight w:val="none"/>
          <w:lang w:eastAsia="zh-CN"/>
        </w:rPr>
        <w:t>二</w:t>
      </w:r>
      <w:r>
        <w:rPr>
          <w:rFonts w:hint="default" w:ascii="Times New Roman" w:hAnsi="Times New Roman" w:eastAsia="黑体" w:cs="Times New Roman"/>
          <w:color w:val="auto"/>
          <w:highlight w:val="none"/>
        </w:rPr>
        <w:t>、持续激发消费活力</w:t>
      </w:r>
    </w:p>
    <w:p>
      <w:pPr>
        <w:ind w:firstLine="643"/>
        <w:rPr>
          <w:rFonts w:hint="default" w:ascii="Times New Roman" w:hAnsi="Times New Roman" w:cs="Times New Roman"/>
          <w:color w:val="auto"/>
          <w:highlight w:val="none"/>
          <w:u w:val="none"/>
        </w:rPr>
      </w:pPr>
      <w:r>
        <w:rPr>
          <w:rFonts w:hint="eastAsia" w:ascii="Times New Roman" w:hAnsi="Times New Roman" w:cs="Times New Roman"/>
          <w:b/>
          <w:bCs/>
          <w:color w:val="auto"/>
          <w:highlight w:val="none"/>
          <w:u w:val="none"/>
          <w:lang w:val="en-US" w:eastAsia="zh-CN"/>
        </w:rPr>
        <w:t>3</w:t>
      </w:r>
      <w:r>
        <w:rPr>
          <w:rFonts w:hint="default" w:ascii="Times New Roman" w:hAnsi="Times New Roman" w:eastAsia="仿宋_GB2312" w:cs="Times New Roman"/>
          <w:b/>
          <w:bCs/>
          <w:color w:val="auto"/>
          <w:highlight w:val="none"/>
          <w:u w:val="none"/>
          <w:lang w:val="en-US" w:eastAsia="zh-CN"/>
        </w:rPr>
        <w:t>.开展促消费活动。</w:t>
      </w:r>
      <w:r>
        <w:rPr>
          <w:rFonts w:hint="default" w:ascii="Times New Roman" w:hAnsi="Times New Roman" w:eastAsia="仿宋_GB2312" w:cs="Times New Roman"/>
          <w:b w:val="0"/>
          <w:bCs w:val="0"/>
          <w:color w:val="auto"/>
          <w:highlight w:val="none"/>
          <w:u w:val="none"/>
          <w:lang w:eastAsia="zh-CN"/>
        </w:rPr>
        <w:t>举办2025年翔安区元旦“开门红”促</w:t>
      </w:r>
      <w:r>
        <w:rPr>
          <w:rFonts w:hint="default" w:ascii="Times New Roman" w:hAnsi="Times New Roman" w:cs="Times New Roman"/>
          <w:b w:val="0"/>
          <w:bCs w:val="0"/>
          <w:color w:val="auto"/>
          <w:highlight w:val="none"/>
          <w:u w:val="none"/>
          <w:lang w:eastAsia="zh-CN"/>
        </w:rPr>
        <w:t>消</w:t>
      </w:r>
      <w:r>
        <w:rPr>
          <w:rFonts w:hint="default" w:ascii="Times New Roman" w:hAnsi="Times New Roman" w:eastAsia="仿宋_GB2312" w:cs="Times New Roman"/>
          <w:b w:val="0"/>
          <w:bCs w:val="0"/>
          <w:color w:val="auto"/>
          <w:highlight w:val="none"/>
          <w:u w:val="none"/>
          <w:lang w:eastAsia="zh-CN"/>
        </w:rPr>
        <w:t>费活动，通过</w:t>
      </w:r>
      <w:r>
        <w:rPr>
          <w:rFonts w:hint="eastAsia" w:ascii="Times New Roman" w:hAnsi="Times New Roman" w:cs="Times New Roman"/>
          <w:b w:val="0"/>
          <w:bCs w:val="0"/>
          <w:color w:val="auto"/>
          <w:highlight w:val="none"/>
          <w:u w:val="none"/>
          <w:lang w:val="en-US" w:eastAsia="zh-CN"/>
        </w:rPr>
        <w:t>云闪付平台</w:t>
      </w:r>
      <w:r>
        <w:rPr>
          <w:rFonts w:hint="default" w:ascii="Times New Roman" w:hAnsi="Times New Roman" w:eastAsia="仿宋_GB2312" w:cs="Times New Roman"/>
          <w:b w:val="0"/>
          <w:bCs w:val="0"/>
          <w:color w:val="auto"/>
          <w:highlight w:val="none"/>
          <w:u w:val="none"/>
          <w:lang w:eastAsia="zh-CN"/>
        </w:rPr>
        <w:t>发放</w:t>
      </w:r>
      <w:r>
        <w:rPr>
          <w:rFonts w:hint="eastAsia" w:ascii="Times New Roman" w:hAnsi="Times New Roman" w:cs="Times New Roman"/>
          <w:b w:val="0"/>
          <w:bCs w:val="0"/>
          <w:color w:val="auto"/>
          <w:highlight w:val="none"/>
          <w:u w:val="none"/>
          <w:lang w:val="en-US" w:eastAsia="zh-CN"/>
        </w:rPr>
        <w:t>87.5万元</w:t>
      </w:r>
      <w:r>
        <w:rPr>
          <w:rFonts w:hint="default" w:ascii="Times New Roman" w:hAnsi="Times New Roman" w:eastAsia="仿宋_GB2312" w:cs="Times New Roman"/>
          <w:b w:val="0"/>
          <w:bCs w:val="0"/>
          <w:color w:val="auto"/>
          <w:highlight w:val="none"/>
          <w:u w:val="none"/>
          <w:lang w:eastAsia="zh-CN"/>
        </w:rPr>
        <w:t>消费券，</w:t>
      </w:r>
      <w:r>
        <w:rPr>
          <w:rFonts w:hint="eastAsia" w:ascii="Times New Roman" w:hAnsi="Times New Roman" w:cs="Times New Roman"/>
          <w:b w:val="0"/>
          <w:bCs w:val="0"/>
          <w:color w:val="auto"/>
          <w:highlight w:val="none"/>
          <w:u w:val="none"/>
          <w:lang w:val="en-US" w:eastAsia="zh-CN"/>
        </w:rPr>
        <w:t>进一步</w:t>
      </w:r>
      <w:r>
        <w:rPr>
          <w:rFonts w:hint="default" w:ascii="Times New Roman" w:hAnsi="Times New Roman" w:eastAsia="仿宋_GB2312" w:cs="Times New Roman"/>
          <w:b w:val="0"/>
          <w:bCs w:val="0"/>
          <w:color w:val="auto"/>
          <w:highlight w:val="none"/>
          <w:u w:val="none"/>
          <w:lang w:eastAsia="zh-CN"/>
        </w:rPr>
        <w:t>激</w:t>
      </w:r>
      <w:r>
        <w:rPr>
          <w:rFonts w:hint="default" w:ascii="Times New Roman" w:hAnsi="Times New Roman" w:cs="Times New Roman"/>
          <w:b w:val="0"/>
          <w:bCs w:val="0"/>
          <w:color w:val="auto"/>
          <w:highlight w:val="none"/>
          <w:u w:val="none"/>
          <w:lang w:eastAsia="zh-CN"/>
        </w:rPr>
        <w:t>发</w:t>
      </w:r>
      <w:r>
        <w:rPr>
          <w:rFonts w:hint="default" w:ascii="Times New Roman" w:hAnsi="Times New Roman" w:eastAsia="仿宋_GB2312" w:cs="Times New Roman"/>
          <w:b w:val="0"/>
          <w:bCs w:val="0"/>
          <w:color w:val="auto"/>
          <w:highlight w:val="none"/>
          <w:u w:val="none"/>
          <w:lang w:eastAsia="zh-CN"/>
        </w:rPr>
        <w:t>消费活力。</w:t>
      </w:r>
      <w:r>
        <w:rPr>
          <w:rFonts w:hint="default" w:ascii="Times New Roman" w:hAnsi="Times New Roman" w:cs="Times New Roman"/>
          <w:b w:val="0"/>
          <w:bCs w:val="0"/>
          <w:color w:val="auto"/>
          <w:highlight w:val="none"/>
          <w:u w:val="none"/>
          <w:lang w:eastAsia="zh-CN"/>
        </w:rPr>
        <w:t>落实</w:t>
      </w:r>
      <w:r>
        <w:rPr>
          <w:rFonts w:hint="default" w:ascii="Times New Roman" w:hAnsi="Times New Roman" w:eastAsia="仿宋_GB2312" w:cs="Times New Roman"/>
          <w:b w:val="0"/>
          <w:bCs w:val="0"/>
          <w:color w:val="auto"/>
          <w:highlight w:val="none"/>
          <w:u w:val="none"/>
          <w:lang w:eastAsia="zh-CN"/>
        </w:rPr>
        <w:t>批发零售业高质量发展</w:t>
      </w:r>
      <w:r>
        <w:rPr>
          <w:rFonts w:hint="default" w:ascii="Times New Roman" w:hAnsi="Times New Roman" w:cs="Times New Roman"/>
          <w:b w:val="0"/>
          <w:bCs w:val="0"/>
          <w:color w:val="auto"/>
          <w:highlight w:val="none"/>
          <w:u w:val="none"/>
          <w:lang w:eastAsia="zh-CN"/>
        </w:rPr>
        <w:t>相关</w:t>
      </w:r>
      <w:r>
        <w:rPr>
          <w:rFonts w:hint="default" w:ascii="Times New Roman" w:hAnsi="Times New Roman" w:eastAsia="仿宋_GB2312" w:cs="Times New Roman"/>
          <w:b w:val="0"/>
          <w:bCs w:val="0"/>
          <w:color w:val="auto"/>
          <w:highlight w:val="none"/>
          <w:u w:val="none"/>
          <w:lang w:eastAsia="zh-CN"/>
        </w:rPr>
        <w:t>激励评价，推动批发零售业企业培育、鼓励“下转上”、促进首发经济发展等工作</w:t>
      </w:r>
      <w:r>
        <w:rPr>
          <w:rFonts w:hint="default" w:ascii="Times New Roman" w:hAnsi="Times New Roman" w:cs="Times New Roman"/>
          <w:b w:val="0"/>
          <w:bCs w:val="0"/>
          <w:color w:val="auto"/>
          <w:highlight w:val="none"/>
          <w:u w:val="none"/>
          <w:lang w:eastAsia="zh-CN"/>
        </w:rPr>
        <w:t>。</w:t>
      </w:r>
      <w:r>
        <w:rPr>
          <w:rFonts w:hint="default" w:ascii="Times New Roman" w:hAnsi="Times New Roman" w:eastAsia="楷体_GB2312" w:cs="Times New Roman"/>
          <w:color w:val="auto"/>
          <w:highlight w:val="none"/>
          <w:u w:val="none"/>
        </w:rPr>
        <w:t>（责任单位：</w:t>
      </w:r>
      <w:r>
        <w:rPr>
          <w:rFonts w:hint="default" w:ascii="Times New Roman" w:hAnsi="Times New Roman" w:eastAsia="楷体_GB2312" w:cs="Times New Roman"/>
          <w:color w:val="auto"/>
          <w:highlight w:val="none"/>
          <w:u w:val="none"/>
          <w:lang w:val="en-US" w:eastAsia="zh-CN"/>
        </w:rPr>
        <w:t>区科技和工信</w:t>
      </w:r>
      <w:r>
        <w:rPr>
          <w:rFonts w:hint="default" w:ascii="Times New Roman" w:hAnsi="Times New Roman" w:eastAsia="楷体_GB2312" w:cs="Times New Roman"/>
          <w:color w:val="auto"/>
          <w:highlight w:val="none"/>
          <w:u w:val="none"/>
        </w:rPr>
        <w:t>商务局</w:t>
      </w:r>
      <w:r>
        <w:rPr>
          <w:rFonts w:hint="default" w:ascii="Times New Roman" w:hAnsi="Times New Roman" w:eastAsia="楷体_GB2312" w:cs="Times New Roman"/>
          <w:color w:val="auto"/>
          <w:highlight w:val="none"/>
          <w:u w:val="none"/>
          <w:lang w:eastAsia="zh-CN"/>
        </w:rPr>
        <w:t>、发改</w:t>
      </w:r>
      <w:r>
        <w:rPr>
          <w:rFonts w:hint="default" w:ascii="Times New Roman" w:hAnsi="Times New Roman" w:eastAsia="楷体_GB2312" w:cs="Times New Roman"/>
          <w:color w:val="auto"/>
          <w:highlight w:val="none"/>
          <w:u w:val="none"/>
          <w:lang w:val="en-US" w:eastAsia="zh-CN"/>
        </w:rPr>
        <w:t>局</w:t>
      </w:r>
      <w:r>
        <w:rPr>
          <w:rFonts w:hint="default" w:ascii="Times New Roman" w:hAnsi="Times New Roman" w:eastAsia="楷体_GB2312" w:cs="Times New Roman"/>
          <w:color w:val="auto"/>
          <w:highlight w:val="none"/>
          <w:u w:val="none"/>
          <w:lang w:eastAsia="zh-CN"/>
        </w:rPr>
        <w:t>、财政局、文旅局</w:t>
      </w:r>
      <w:r>
        <w:rPr>
          <w:rFonts w:hint="default" w:ascii="Times New Roman" w:hAnsi="Times New Roman" w:eastAsia="楷体_GB2312" w:cs="Times New Roman"/>
          <w:color w:val="auto"/>
          <w:highlight w:val="none"/>
          <w:u w:val="none"/>
        </w:rPr>
        <w:t>，各</w:t>
      </w:r>
      <w:r>
        <w:rPr>
          <w:rFonts w:hint="default" w:ascii="Times New Roman" w:hAnsi="Times New Roman" w:eastAsia="楷体_GB2312" w:cs="Times New Roman"/>
          <w:color w:val="auto"/>
          <w:highlight w:val="none"/>
          <w:u w:val="none"/>
          <w:lang w:val="en-US" w:eastAsia="zh-CN"/>
        </w:rPr>
        <w:t>镇街</w:t>
      </w:r>
      <w:r>
        <w:rPr>
          <w:rFonts w:hint="default" w:ascii="Times New Roman" w:hAnsi="Times New Roman" w:eastAsia="楷体_GB2312" w:cs="Times New Roman"/>
          <w:color w:val="auto"/>
          <w:highlight w:val="none"/>
          <w:u w:val="none"/>
        </w:rPr>
        <w:t>）</w:t>
      </w:r>
    </w:p>
    <w:p>
      <w:pPr>
        <w:ind w:firstLine="643"/>
        <w:rPr>
          <w:rFonts w:hint="default" w:ascii="Times New Roman" w:hAnsi="Times New Roman" w:eastAsia="楷体_GB2312" w:cs="Times New Roman"/>
          <w:color w:val="auto"/>
          <w:highlight w:val="none"/>
          <w:u w:val="none"/>
          <w:lang w:val="en-US" w:eastAsia="zh-CN"/>
        </w:rPr>
      </w:pPr>
      <w:r>
        <w:rPr>
          <w:rFonts w:hint="eastAsia" w:ascii="Times New Roman" w:hAnsi="Times New Roman" w:cs="Times New Roman"/>
          <w:b/>
          <w:bCs/>
          <w:color w:val="auto"/>
          <w:sz w:val="32"/>
          <w:szCs w:val="32"/>
          <w:highlight w:val="none"/>
          <w:lang w:val="en-US" w:eastAsia="zh-CN"/>
        </w:rPr>
        <w:t>4</w:t>
      </w:r>
      <w:r>
        <w:rPr>
          <w:rFonts w:hint="default" w:ascii="Times New Roman" w:hAnsi="Times New Roman" w:cs="Times New Roman"/>
          <w:b/>
          <w:bCs/>
          <w:color w:val="auto"/>
          <w:sz w:val="32"/>
          <w:szCs w:val="32"/>
          <w:highlight w:val="none"/>
          <w:lang w:val="en-US" w:eastAsia="zh-CN"/>
        </w:rPr>
        <w:t>.</w:t>
      </w:r>
      <w:r>
        <w:rPr>
          <w:rFonts w:hint="eastAsia" w:ascii="Times New Roman" w:hAnsi="Times New Roman" w:cs="Times New Roman"/>
          <w:b/>
          <w:bCs/>
          <w:color w:val="auto"/>
          <w:sz w:val="32"/>
          <w:szCs w:val="32"/>
          <w:highlight w:val="none"/>
          <w:lang w:val="en-US" w:eastAsia="zh-CN"/>
        </w:rPr>
        <w:t>提升壮大文旅市场</w:t>
      </w:r>
      <w:r>
        <w:rPr>
          <w:rFonts w:hint="default" w:ascii="Times New Roman" w:hAnsi="Times New Roman" w:eastAsia="仿宋_GB2312" w:cs="Times New Roman"/>
          <w:b/>
          <w:bCs/>
          <w:color w:val="auto"/>
          <w:sz w:val="32"/>
          <w:szCs w:val="32"/>
          <w:highlight w:val="none"/>
        </w:rPr>
        <w:t>。</w:t>
      </w:r>
      <w:r>
        <w:rPr>
          <w:rFonts w:hint="default" w:ascii="Times New Roman" w:hAnsi="Times New Roman" w:eastAsia="仿宋_GB2312" w:cs="Times New Roman"/>
          <w:b w:val="0"/>
          <w:bCs w:val="0"/>
          <w:color w:val="auto"/>
          <w:sz w:val="32"/>
          <w:szCs w:val="32"/>
          <w:highlight w:val="none"/>
        </w:rPr>
        <w:t>紧扣“两节”、寒假等旅游旺季，一季度策划推出文旅活动17场以上，引导推出营业性演出5场以上。</w:t>
      </w:r>
      <w:r>
        <w:rPr>
          <w:rFonts w:hint="default" w:ascii="Times New Roman" w:hAnsi="Times New Roman" w:eastAsia="楷体_GB2312" w:cs="Times New Roman"/>
          <w:color w:val="auto"/>
          <w:highlight w:val="none"/>
          <w:u w:val="none"/>
          <w:lang w:val="en-US" w:eastAsia="zh-CN"/>
        </w:rPr>
        <w:t>（责任单位：区文旅局）</w:t>
      </w:r>
    </w:p>
    <w:p>
      <w:pPr>
        <w:ind w:firstLine="640"/>
        <w:rPr>
          <w:rFonts w:hint="default" w:ascii="Times New Roman" w:hAnsi="Times New Roman" w:eastAsia="黑体" w:cs="Times New Roman"/>
          <w:color w:val="auto"/>
          <w:highlight w:val="none"/>
        </w:rPr>
      </w:pPr>
      <w:r>
        <w:rPr>
          <w:rFonts w:hint="eastAsia" w:ascii="Times New Roman" w:hAnsi="Times New Roman" w:eastAsia="黑体" w:cs="Times New Roman"/>
          <w:color w:val="auto"/>
          <w:highlight w:val="none"/>
          <w:lang w:eastAsia="zh-CN"/>
        </w:rPr>
        <w:t>三</w:t>
      </w:r>
      <w:r>
        <w:rPr>
          <w:rFonts w:hint="default" w:ascii="Times New Roman" w:hAnsi="Times New Roman" w:eastAsia="黑体" w:cs="Times New Roman"/>
          <w:color w:val="auto"/>
          <w:highlight w:val="none"/>
        </w:rPr>
        <w:t>、聚力扩大有效投资</w:t>
      </w:r>
    </w:p>
    <w:p>
      <w:pPr>
        <w:ind w:firstLine="643"/>
        <w:rPr>
          <w:rFonts w:hint="default" w:ascii="Times New Roman" w:hAnsi="Times New Roman" w:cs="Times New Roman"/>
          <w:color w:val="auto"/>
          <w:szCs w:val="32"/>
          <w:highlight w:val="none"/>
          <w:u w:val="none"/>
          <w:lang w:val="en-US" w:eastAsia="zh-CN"/>
        </w:rPr>
      </w:pPr>
      <w:r>
        <w:rPr>
          <w:rFonts w:hint="eastAsia" w:ascii="Times New Roman" w:hAnsi="Times New Roman" w:cs="Times New Roman"/>
          <w:b/>
          <w:bCs/>
          <w:color w:val="auto"/>
          <w:highlight w:val="none"/>
          <w:u w:val="none"/>
          <w:lang w:val="en-US" w:eastAsia="zh-CN"/>
        </w:rPr>
        <w:t>5</w:t>
      </w:r>
      <w:r>
        <w:rPr>
          <w:rFonts w:hint="default" w:ascii="Times New Roman" w:hAnsi="Times New Roman" w:cs="Times New Roman"/>
          <w:b/>
          <w:bCs/>
          <w:color w:val="auto"/>
          <w:highlight w:val="none"/>
          <w:u w:val="none"/>
          <w:lang w:val="en-US" w:eastAsia="zh-CN"/>
        </w:rPr>
        <w:t>.扩围实施“两新”政策。</w:t>
      </w:r>
      <w:r>
        <w:rPr>
          <w:rFonts w:hint="default" w:ascii="Times New Roman" w:hAnsi="Times New Roman" w:cs="Times New Roman"/>
          <w:b w:val="0"/>
          <w:bCs w:val="0"/>
          <w:color w:val="auto"/>
          <w:highlight w:val="none"/>
          <w:u w:val="none"/>
          <w:lang w:val="en-US" w:eastAsia="zh-CN"/>
        </w:rPr>
        <w:t>积极策划储备设备更新改造项目，靠前指导企业开展申报工作。深入做好消费品以旧换新政策宣传解读，积极组织筛选辖区内更多汽车、家电、家装等领域商户参与活动，让更多真金白银的优惠直达消费者。</w:t>
      </w:r>
      <w:r>
        <w:rPr>
          <w:rFonts w:hint="default" w:ascii="Times New Roman" w:hAnsi="Times New Roman" w:eastAsia="楷体_GB2312" w:cs="Times New Roman"/>
          <w:b w:val="0"/>
          <w:bCs w:val="0"/>
          <w:color w:val="auto"/>
          <w:highlight w:val="none"/>
          <w:u w:val="none"/>
          <w:lang w:val="en-US" w:eastAsia="zh-CN"/>
        </w:rPr>
        <w:t>（责任单位：区发改局、翔安生态环境局、教育局、科技和工信商务局、民政局、财政局、农业农村和水利局、住建和交通局、文旅局、卫健局）</w:t>
      </w:r>
    </w:p>
    <w:p>
      <w:pPr>
        <w:keepNext w:val="0"/>
        <w:keepLines w:val="0"/>
        <w:widowControl/>
        <w:suppressLineNumbers w:val="0"/>
        <w:jc w:val="left"/>
        <w:rPr>
          <w:rFonts w:hint="default" w:ascii="Times New Roman" w:hAnsi="Times New Roman" w:eastAsia="楷体_GB2312" w:cs="Times New Roman"/>
          <w:color w:val="auto"/>
          <w:highlight w:val="none"/>
          <w:u w:val="none"/>
          <w:lang w:val="en-US" w:eastAsia="zh-CN"/>
        </w:rPr>
      </w:pPr>
      <w:r>
        <w:rPr>
          <w:rFonts w:hint="eastAsia" w:ascii="Times New Roman" w:hAnsi="Times New Roman" w:cs="Times New Roman"/>
          <w:b/>
          <w:bCs/>
          <w:color w:val="auto"/>
          <w:highlight w:val="none"/>
          <w:u w:val="none"/>
          <w:lang w:val="en-US" w:eastAsia="zh-CN"/>
        </w:rPr>
        <w:t>6</w:t>
      </w:r>
      <w:r>
        <w:rPr>
          <w:rFonts w:hint="default" w:ascii="Times New Roman" w:hAnsi="Times New Roman" w:cs="Times New Roman"/>
          <w:b/>
          <w:bCs/>
          <w:color w:val="auto"/>
          <w:highlight w:val="none"/>
          <w:u w:val="none"/>
          <w:lang w:val="en-US" w:eastAsia="zh-CN"/>
        </w:rPr>
        <w:t>.加</w:t>
      </w:r>
      <w:r>
        <w:rPr>
          <w:rFonts w:hint="eastAsia" w:ascii="Times New Roman" w:hAnsi="Times New Roman" w:cs="Times New Roman"/>
          <w:b/>
          <w:bCs/>
          <w:color w:val="auto"/>
          <w:highlight w:val="none"/>
          <w:u w:val="none"/>
          <w:lang w:val="en-US" w:eastAsia="zh-CN"/>
        </w:rPr>
        <w:t>大有效投资力度</w:t>
      </w:r>
      <w:r>
        <w:rPr>
          <w:rFonts w:hint="default" w:ascii="Times New Roman" w:hAnsi="Times New Roman" w:cs="Times New Roman"/>
          <w:b/>
          <w:bCs/>
          <w:color w:val="auto"/>
          <w:highlight w:val="none"/>
          <w:u w:val="none"/>
          <w:lang w:val="en-US" w:eastAsia="zh-CN"/>
        </w:rPr>
        <w:t>。</w:t>
      </w:r>
      <w:r>
        <w:rPr>
          <w:rFonts w:ascii="仿宋_GB2312" w:hAnsi="宋体" w:eastAsia="仿宋_GB2312" w:cs="仿宋_GB2312"/>
          <w:color w:val="000000"/>
          <w:kern w:val="0"/>
          <w:sz w:val="31"/>
          <w:szCs w:val="31"/>
          <w:lang w:val="en-US" w:eastAsia="zh-CN" w:bidi="ar"/>
        </w:rPr>
        <w:t>加快“两重”项目谋划建设</w:t>
      </w:r>
      <w:r>
        <w:rPr>
          <w:rFonts w:hint="default" w:ascii="Times New Roman" w:hAnsi="Times New Roman" w:eastAsia="仿宋_GB2312" w:cs="Times New Roman"/>
          <w:b w:val="0"/>
          <w:bCs w:val="0"/>
          <w:color w:val="auto"/>
          <w:sz w:val="32"/>
          <w:szCs w:val="32"/>
          <w:highlight w:val="none"/>
        </w:rPr>
        <w:t>，推动重点项目建设提速，加快形成更多实物工作量，力争一季度省市重点项目超序时进度完成</w:t>
      </w:r>
      <w:r>
        <w:rPr>
          <w:rFonts w:hint="eastAsia" w:ascii="Times New Roman" w:hAnsi="Times New Roman" w:cs="Times New Roman"/>
          <w:b w:val="0"/>
          <w:bCs w:val="0"/>
          <w:color w:val="auto"/>
          <w:sz w:val="32"/>
          <w:szCs w:val="32"/>
          <w:highlight w:val="none"/>
          <w:lang w:eastAsia="zh-CN"/>
        </w:rPr>
        <w:t>。</w:t>
      </w:r>
      <w:r>
        <w:rPr>
          <w:rFonts w:hint="default" w:ascii="Times New Roman" w:hAnsi="Times New Roman" w:eastAsia="仿宋_GB2312" w:cs="Times New Roman"/>
          <w:b w:val="0"/>
          <w:bCs w:val="0"/>
          <w:color w:val="auto"/>
          <w:sz w:val="32"/>
          <w:szCs w:val="32"/>
          <w:highlight w:val="none"/>
        </w:rPr>
        <w:t>扎实开展产业项目攻坚行动，加大项目服务支撑力度。</w:t>
      </w:r>
      <w:r>
        <w:rPr>
          <w:rFonts w:hint="default" w:ascii="Times New Roman" w:hAnsi="Times New Roman" w:eastAsia="楷体_GB2312" w:cs="Times New Roman"/>
          <w:color w:val="auto"/>
          <w:highlight w:val="none"/>
          <w:u w:val="none"/>
          <w:lang w:val="en-US" w:eastAsia="zh-CN"/>
        </w:rPr>
        <w:t>（责任单位：区发改局</w:t>
      </w:r>
      <w:r>
        <w:rPr>
          <w:rFonts w:hint="eastAsia" w:ascii="Times New Roman" w:hAnsi="Times New Roman" w:eastAsia="楷体_GB2312" w:cs="Times New Roman"/>
          <w:color w:val="auto"/>
          <w:highlight w:val="none"/>
          <w:u w:val="none"/>
          <w:lang w:val="en-US" w:eastAsia="zh-CN"/>
        </w:rPr>
        <w:t>、财政局、科技和工信商务局、农业农村和水利局、住建和交通局、教育局、卫健局</w:t>
      </w:r>
      <w:r>
        <w:rPr>
          <w:rFonts w:hint="default" w:ascii="Times New Roman" w:hAnsi="Times New Roman" w:eastAsia="楷体_GB2312" w:cs="Times New Roman"/>
          <w:color w:val="auto"/>
          <w:highlight w:val="none"/>
          <w:u w:val="none"/>
          <w:lang w:val="en-US" w:eastAsia="zh-CN"/>
        </w:rPr>
        <w:t>）</w:t>
      </w:r>
    </w:p>
    <w:p>
      <w:pPr>
        <w:ind w:firstLine="643"/>
        <w:rPr>
          <w:rFonts w:hint="default" w:ascii="Times New Roman" w:hAnsi="Times New Roman" w:eastAsia="仿宋_GB2312" w:cs="Times New Roman"/>
          <w:b/>
          <w:bCs/>
          <w:color w:val="auto"/>
          <w:highlight w:val="none"/>
          <w:u w:val="none"/>
          <w:lang w:val="en-US" w:eastAsia="zh-CN"/>
        </w:rPr>
      </w:pPr>
      <w:r>
        <w:rPr>
          <w:rFonts w:hint="eastAsia" w:ascii="Times New Roman" w:hAnsi="Times New Roman" w:cs="Times New Roman"/>
          <w:b/>
          <w:bCs/>
          <w:color w:val="auto"/>
          <w:highlight w:val="none"/>
          <w:u w:val="none"/>
          <w:lang w:val="en-US" w:eastAsia="zh-CN"/>
        </w:rPr>
        <w:t>7.</w:t>
      </w:r>
      <w:r>
        <w:rPr>
          <w:rFonts w:hint="default" w:ascii="Times New Roman" w:hAnsi="Times New Roman" w:cs="Times New Roman"/>
          <w:b/>
          <w:bCs/>
          <w:color w:val="auto"/>
          <w:highlight w:val="none"/>
          <w:u w:val="none"/>
          <w:lang w:val="en-US" w:eastAsia="zh-CN"/>
        </w:rPr>
        <w:t>加快海洋项目建设。</w:t>
      </w:r>
      <w:r>
        <w:rPr>
          <w:rFonts w:hint="default" w:ascii="Times New Roman" w:hAnsi="Times New Roman" w:cs="Times New Roman"/>
          <w:b w:val="0"/>
          <w:bCs w:val="0"/>
          <w:color w:val="auto"/>
          <w:highlight w:val="none"/>
          <w:u w:val="none"/>
          <w:lang w:val="en-US" w:eastAsia="zh-CN"/>
        </w:rPr>
        <w:t>推动2024年世界航海装备大会和厦门国际海洋周签约项目加快落地。</w:t>
      </w:r>
      <w:r>
        <w:rPr>
          <w:rFonts w:hint="eastAsia" w:ascii="Times New Roman" w:hAnsi="Times New Roman" w:cs="Times New Roman"/>
          <w:b w:val="0"/>
          <w:bCs w:val="0"/>
          <w:color w:val="auto"/>
          <w:highlight w:val="none"/>
          <w:u w:val="none"/>
          <w:lang w:val="en-US" w:eastAsia="zh-CN"/>
        </w:rPr>
        <w:t>配合推进</w:t>
      </w:r>
      <w:r>
        <w:rPr>
          <w:rFonts w:hint="default" w:ascii="Times New Roman" w:hAnsi="Times New Roman" w:cs="Times New Roman"/>
          <w:b w:val="0"/>
          <w:bCs w:val="0"/>
          <w:color w:val="auto"/>
          <w:highlight w:val="none"/>
          <w:u w:val="none"/>
          <w:lang w:val="en-US" w:eastAsia="zh-CN"/>
        </w:rPr>
        <w:t>厦门国家海洋经济发展示范区</w:t>
      </w:r>
      <w:r>
        <w:rPr>
          <w:rFonts w:hint="eastAsia" w:ascii="Times New Roman" w:hAnsi="Times New Roman" w:cs="Times New Roman"/>
          <w:b w:val="0"/>
          <w:bCs w:val="0"/>
          <w:color w:val="auto"/>
          <w:highlight w:val="none"/>
          <w:u w:val="none"/>
          <w:lang w:val="en-US" w:eastAsia="zh-CN"/>
        </w:rPr>
        <w:t>建设</w:t>
      </w:r>
      <w:r>
        <w:rPr>
          <w:rFonts w:hint="default" w:ascii="Times New Roman" w:hAnsi="Times New Roman" w:cs="Times New Roman"/>
          <w:b w:val="0"/>
          <w:bCs w:val="0"/>
          <w:color w:val="auto"/>
          <w:highlight w:val="none"/>
          <w:u w:val="none"/>
          <w:lang w:val="en-US" w:eastAsia="zh-CN"/>
        </w:rPr>
        <w:t>。</w:t>
      </w:r>
      <w:r>
        <w:rPr>
          <w:rFonts w:hint="default" w:ascii="Times New Roman" w:hAnsi="Times New Roman" w:eastAsia="楷体_GB2312" w:cs="Times New Roman"/>
          <w:b w:val="0"/>
          <w:bCs w:val="0"/>
          <w:color w:val="auto"/>
          <w:highlight w:val="none"/>
          <w:u w:val="none"/>
          <w:lang w:val="en-US" w:eastAsia="zh-CN"/>
        </w:rPr>
        <w:t>（责任单位：区发改局、科技和工信商务局、农业农村和水利局）</w:t>
      </w:r>
    </w:p>
    <w:p>
      <w:pPr>
        <w:ind w:firstLine="643"/>
        <w:rPr>
          <w:rFonts w:hint="eastAsia" w:ascii="Times New Roman" w:hAnsi="Times New Roman" w:eastAsia="楷体_GB2312" w:cs="Times New Roman"/>
          <w:b w:val="0"/>
          <w:bCs w:val="0"/>
          <w:color w:val="auto"/>
          <w:highlight w:val="none"/>
          <w:u w:val="none"/>
          <w:lang w:val="en-US" w:eastAsia="zh-CN"/>
        </w:rPr>
      </w:pPr>
      <w:r>
        <w:rPr>
          <w:rFonts w:hint="eastAsia" w:ascii="Times New Roman" w:hAnsi="Times New Roman" w:cs="Times New Roman"/>
          <w:b/>
          <w:bCs/>
          <w:color w:val="auto"/>
          <w:highlight w:val="none"/>
          <w:u w:val="none"/>
          <w:lang w:val="en-US" w:eastAsia="zh-CN"/>
        </w:rPr>
        <w:t>8.促进楼市健康发展。</w:t>
      </w:r>
      <w:r>
        <w:rPr>
          <w:rFonts w:hint="eastAsia" w:ascii="Times New Roman" w:hAnsi="Times New Roman" w:cs="Times New Roman"/>
          <w:b w:val="0"/>
          <w:bCs w:val="0"/>
          <w:color w:val="auto"/>
          <w:highlight w:val="none"/>
          <w:u w:val="none"/>
          <w:lang w:val="en-US" w:eastAsia="zh-CN"/>
        </w:rPr>
        <w:t>综合施策推进“保交楼”，优化实施房票制度，积极配合做好购房消费券发放相关工作。</w:t>
      </w:r>
      <w:r>
        <w:rPr>
          <w:rFonts w:hint="eastAsia" w:ascii="Times New Roman" w:hAnsi="Times New Roman" w:eastAsia="楷体_GB2312" w:cs="Times New Roman"/>
          <w:b w:val="0"/>
          <w:bCs w:val="0"/>
          <w:color w:val="auto"/>
          <w:highlight w:val="none"/>
          <w:u w:val="none"/>
          <w:lang w:val="en-US" w:eastAsia="zh-CN"/>
        </w:rPr>
        <w:t>（责任单位：区住建和交通局、财政局、资规局翔安分局，各镇街）</w:t>
      </w:r>
    </w:p>
    <w:p>
      <w:pPr>
        <w:ind w:firstLine="643"/>
        <w:rPr>
          <w:rFonts w:hint="default" w:ascii="Times New Roman" w:hAnsi="Times New Roman" w:cs="Times New Roman"/>
          <w:b/>
          <w:bCs/>
          <w:color w:val="auto"/>
          <w:highlight w:val="none"/>
          <w:lang w:val="en-US" w:eastAsia="zh-CN"/>
        </w:rPr>
      </w:pPr>
      <w:r>
        <w:rPr>
          <w:rFonts w:hint="default" w:ascii="Times New Roman" w:hAnsi="Times New Roman" w:eastAsia="黑体" w:cs="Times New Roman"/>
          <w:b w:val="0"/>
          <w:bCs w:val="0"/>
          <w:color w:val="auto"/>
          <w:highlight w:val="none"/>
          <w:lang w:val="en-US" w:eastAsia="zh-CN"/>
        </w:rPr>
        <w:t>四、</w:t>
      </w:r>
      <w:r>
        <w:rPr>
          <w:rFonts w:hint="eastAsia" w:ascii="Times New Roman" w:hAnsi="Times New Roman" w:eastAsia="黑体" w:cs="Times New Roman"/>
          <w:b w:val="0"/>
          <w:bCs w:val="0"/>
          <w:color w:val="auto"/>
          <w:highlight w:val="none"/>
          <w:lang w:val="en-US" w:eastAsia="zh-CN"/>
        </w:rPr>
        <w:t>充分提振市场信心</w:t>
      </w:r>
    </w:p>
    <w:p>
      <w:pPr>
        <w:numPr>
          <w:ilvl w:val="0"/>
          <w:numId w:val="0"/>
        </w:numPr>
        <w:bidi w:val="0"/>
        <w:ind w:firstLine="643" w:firstLineChars="200"/>
        <w:rPr>
          <w:rFonts w:hint="default" w:ascii="Times New Roman" w:hAnsi="Times New Roman" w:cs="Times New Roman"/>
          <w:b/>
          <w:bCs/>
          <w:color w:val="auto"/>
          <w:highlight w:val="none"/>
          <w:lang w:val="en-US" w:eastAsia="zh-CN"/>
        </w:rPr>
      </w:pPr>
      <w:r>
        <w:rPr>
          <w:rFonts w:hint="eastAsia" w:ascii="Times New Roman" w:hAnsi="Times New Roman" w:cs="Times New Roman"/>
          <w:b/>
          <w:bCs/>
          <w:color w:val="auto"/>
          <w:highlight w:val="none"/>
          <w:lang w:val="en-US" w:eastAsia="zh-CN"/>
        </w:rPr>
        <w:t>9</w:t>
      </w:r>
      <w:r>
        <w:rPr>
          <w:rFonts w:hint="default" w:ascii="Times New Roman" w:hAnsi="Times New Roman" w:cs="Times New Roman"/>
          <w:b/>
          <w:bCs/>
          <w:color w:val="auto"/>
          <w:highlight w:val="none"/>
        </w:rPr>
        <w:t>.</w:t>
      </w:r>
      <w:r>
        <w:rPr>
          <w:rFonts w:hint="eastAsia" w:ascii="Times New Roman" w:hAnsi="Times New Roman" w:cs="Times New Roman"/>
          <w:b/>
          <w:bCs/>
          <w:color w:val="auto"/>
          <w:highlight w:val="none"/>
          <w:lang w:val="en-US" w:eastAsia="zh-CN"/>
        </w:rPr>
        <w:t>加强</w:t>
      </w:r>
      <w:r>
        <w:rPr>
          <w:rFonts w:hint="default" w:ascii="Times New Roman" w:hAnsi="Times New Roman" w:eastAsia="仿宋_GB2312" w:cs="Times New Roman"/>
          <w:b/>
          <w:bCs/>
          <w:color w:val="auto"/>
          <w:highlight w:val="none"/>
          <w:lang w:val="en-US" w:eastAsia="zh-CN"/>
        </w:rPr>
        <w:t>企业用工服务。</w:t>
      </w:r>
      <w:r>
        <w:rPr>
          <w:rFonts w:hint="default" w:ascii="Times New Roman" w:hAnsi="Times New Roman" w:eastAsia="仿宋_GB2312" w:cs="Times New Roman"/>
          <w:sz w:val="32"/>
          <w:szCs w:val="32"/>
          <w:lang w:val="en-US" w:eastAsia="zh-CN"/>
        </w:rPr>
        <w:t>做好招聘服务活动，提供“点对点”“一站式”返岗复工服务，根据企业需求，结合市级线路适时组织赴外招聘活动。</w:t>
      </w:r>
      <w:r>
        <w:rPr>
          <w:rFonts w:hint="default" w:ascii="Times New Roman" w:hAnsi="Times New Roman" w:eastAsia="仿宋_GB2312" w:cs="Times New Roman"/>
          <w:sz w:val="32"/>
          <w:szCs w:val="32"/>
        </w:rPr>
        <w:t>企业派员参加市、区人社部门组织的市外招工活动，可根据市、区政策享受差旅费补贴，场地布置费、招聘信息宣传费、租车费等有关费用由主办单位承担。</w:t>
      </w:r>
      <w:r>
        <w:rPr>
          <w:rFonts w:hint="default" w:ascii="Times New Roman" w:hAnsi="Times New Roman" w:eastAsia="楷体_GB2312" w:cs="Times New Roman"/>
          <w:b w:val="0"/>
          <w:bCs w:val="0"/>
          <w:color w:val="auto"/>
          <w:highlight w:val="none"/>
          <w:lang w:val="en-US" w:eastAsia="zh-CN"/>
        </w:rPr>
        <w:t>（责任单位：区人社局，各镇街）</w:t>
      </w:r>
    </w:p>
    <w:p>
      <w:pPr>
        <w:ind w:firstLine="643"/>
        <w:rPr>
          <w:rFonts w:hint="default" w:ascii="Times New Roman" w:hAnsi="Times New Roman" w:eastAsia="楷体_GB2312" w:cs="Times New Roman"/>
          <w:color w:val="auto"/>
          <w:highlight w:val="none"/>
          <w:lang w:val="en-US" w:eastAsia="zh-CN"/>
        </w:rPr>
      </w:pPr>
      <w:r>
        <w:rPr>
          <w:rFonts w:hint="default" w:ascii="Times New Roman" w:hAnsi="Times New Roman" w:cs="Times New Roman"/>
          <w:b/>
          <w:bCs/>
          <w:color w:val="auto"/>
          <w:highlight w:val="none"/>
          <w:lang w:val="en-US" w:eastAsia="zh-CN"/>
        </w:rPr>
        <w:t>1</w:t>
      </w:r>
      <w:r>
        <w:rPr>
          <w:rFonts w:hint="eastAsia" w:ascii="Times New Roman" w:hAnsi="Times New Roman" w:cs="Times New Roman"/>
          <w:b/>
          <w:bCs/>
          <w:color w:val="auto"/>
          <w:highlight w:val="none"/>
          <w:lang w:val="en-US" w:eastAsia="zh-CN"/>
        </w:rPr>
        <w:t>0</w:t>
      </w:r>
      <w:r>
        <w:rPr>
          <w:rFonts w:hint="default" w:ascii="Times New Roman" w:hAnsi="Times New Roman" w:cs="Times New Roman"/>
          <w:b/>
          <w:bCs/>
          <w:color w:val="auto"/>
          <w:highlight w:val="none"/>
          <w:lang w:val="en-US" w:eastAsia="zh-CN"/>
        </w:rPr>
        <w:t>.开展走访对接</w:t>
      </w:r>
      <w:r>
        <w:rPr>
          <w:rFonts w:hint="eastAsia" w:ascii="Times New Roman" w:hAnsi="Times New Roman" w:cs="Times New Roman"/>
          <w:b/>
          <w:bCs/>
          <w:color w:val="auto"/>
          <w:highlight w:val="none"/>
          <w:lang w:val="en-US" w:eastAsia="zh-CN"/>
        </w:rPr>
        <w:t>活动</w:t>
      </w:r>
      <w:r>
        <w:rPr>
          <w:rFonts w:hint="default" w:ascii="Times New Roman" w:hAnsi="Times New Roman" w:cs="Times New Roman"/>
          <w:b/>
          <w:bCs/>
          <w:color w:val="auto"/>
          <w:highlight w:val="none"/>
          <w:lang w:val="en-US" w:eastAsia="zh-CN"/>
        </w:rPr>
        <w:t>。</w:t>
      </w:r>
      <w:r>
        <w:rPr>
          <w:rFonts w:hint="default" w:ascii="Times New Roman" w:hAnsi="Times New Roman" w:cs="Times New Roman"/>
          <w:color w:val="auto"/>
          <w:highlight w:val="none"/>
          <w:lang w:val="en-US" w:eastAsia="zh-CN"/>
        </w:rPr>
        <w:t>各级党政领导和有关部门负责同志节日期间积极走访看望返乡企业家、专家和各界人士，并建立健全常态化沟通联系机制，鼓励更多在外闽商、各界人士返乡创业或帮助牵线搭桥、对接项目。</w:t>
      </w:r>
      <w:r>
        <w:rPr>
          <w:rFonts w:hint="eastAsia" w:ascii="Times New Roman" w:hAnsi="Times New Roman" w:cs="Times New Roman"/>
          <w:color w:val="auto"/>
          <w:highlight w:val="none"/>
          <w:lang w:val="en-US" w:eastAsia="zh-CN"/>
        </w:rPr>
        <w:t>开展“数智益企”行动，深度走访区内数字经济重点企业，精准宣贯相关政策及理念，激发数字经济活动。</w:t>
      </w:r>
      <w:r>
        <w:rPr>
          <w:rFonts w:hint="eastAsia" w:ascii="Times New Roman" w:hAnsi="Times New Roman" w:eastAsia="楷体_GB2312" w:cs="Times New Roman"/>
          <w:color w:val="auto"/>
          <w:highlight w:val="none"/>
          <w:lang w:val="en-US" w:eastAsia="zh-CN"/>
        </w:rPr>
        <w:t>（</w:t>
      </w:r>
      <w:r>
        <w:rPr>
          <w:rFonts w:hint="default" w:ascii="Times New Roman" w:hAnsi="Times New Roman" w:eastAsia="楷体_GB2312" w:cs="Times New Roman"/>
          <w:color w:val="auto"/>
          <w:highlight w:val="none"/>
          <w:lang w:val="en-US" w:eastAsia="zh-CN"/>
        </w:rPr>
        <w:t>责任单位</w:t>
      </w:r>
      <w:r>
        <w:rPr>
          <w:rFonts w:hint="eastAsia" w:ascii="Times New Roman" w:hAnsi="Times New Roman" w:eastAsia="楷体_GB2312" w:cs="Times New Roman"/>
          <w:color w:val="auto"/>
          <w:highlight w:val="none"/>
          <w:lang w:val="en-US" w:eastAsia="zh-CN"/>
        </w:rPr>
        <w:t>：</w:t>
      </w:r>
      <w:r>
        <w:rPr>
          <w:rFonts w:hint="default" w:ascii="Times New Roman" w:hAnsi="Times New Roman" w:eastAsia="楷体_GB2312" w:cs="Times New Roman"/>
          <w:color w:val="auto"/>
          <w:highlight w:val="none"/>
          <w:lang w:eastAsia="zh-CN"/>
        </w:rPr>
        <w:t>区</w:t>
      </w:r>
      <w:r>
        <w:rPr>
          <w:rFonts w:hint="default" w:ascii="Times New Roman" w:hAnsi="Times New Roman" w:eastAsia="楷体_GB2312" w:cs="Times New Roman"/>
          <w:color w:val="auto"/>
          <w:highlight w:val="none"/>
          <w:lang w:val="en-US" w:eastAsia="zh-CN"/>
        </w:rPr>
        <w:t>科技和</w:t>
      </w:r>
      <w:r>
        <w:rPr>
          <w:rFonts w:hint="default" w:ascii="Times New Roman" w:hAnsi="Times New Roman" w:eastAsia="楷体_GB2312" w:cs="Times New Roman"/>
          <w:color w:val="auto"/>
          <w:highlight w:val="none"/>
          <w:lang w:eastAsia="zh-CN"/>
        </w:rPr>
        <w:t>工信</w:t>
      </w:r>
      <w:r>
        <w:rPr>
          <w:rFonts w:hint="default" w:ascii="Times New Roman" w:hAnsi="Times New Roman" w:eastAsia="楷体_GB2312" w:cs="Times New Roman"/>
          <w:color w:val="auto"/>
          <w:highlight w:val="none"/>
          <w:lang w:val="en-US" w:eastAsia="zh-CN"/>
        </w:rPr>
        <w:t>商务</w:t>
      </w:r>
      <w:r>
        <w:rPr>
          <w:rFonts w:hint="default" w:ascii="Times New Roman" w:hAnsi="Times New Roman" w:eastAsia="楷体_GB2312" w:cs="Times New Roman"/>
          <w:color w:val="auto"/>
          <w:highlight w:val="none"/>
          <w:lang w:eastAsia="zh-CN"/>
        </w:rPr>
        <w:t>局、</w:t>
      </w:r>
      <w:r>
        <w:rPr>
          <w:rFonts w:hint="default" w:ascii="Times New Roman" w:hAnsi="Times New Roman" w:eastAsia="楷体_GB2312" w:cs="Times New Roman"/>
          <w:color w:val="auto"/>
          <w:highlight w:val="none"/>
          <w:lang w:val="en-US" w:eastAsia="zh-CN"/>
        </w:rPr>
        <w:t>发改局、人社局、</w:t>
      </w:r>
      <w:r>
        <w:rPr>
          <w:rFonts w:hint="eastAsia" w:ascii="Times New Roman" w:hAnsi="Times New Roman" w:eastAsia="楷体_GB2312" w:cs="Times New Roman"/>
          <w:color w:val="auto"/>
          <w:highlight w:val="none"/>
          <w:lang w:val="en-US" w:eastAsia="zh-CN"/>
        </w:rPr>
        <w:t>数据管理局、</w:t>
      </w:r>
      <w:r>
        <w:rPr>
          <w:rFonts w:hint="default" w:ascii="Times New Roman" w:hAnsi="Times New Roman" w:eastAsia="楷体_GB2312" w:cs="Times New Roman"/>
          <w:color w:val="auto"/>
          <w:highlight w:val="none"/>
          <w:lang w:val="en-US" w:eastAsia="zh-CN"/>
        </w:rPr>
        <w:t>工商联</w:t>
      </w:r>
      <w:r>
        <w:rPr>
          <w:rFonts w:hint="eastAsia" w:ascii="Times New Roman" w:hAnsi="Times New Roman" w:eastAsia="楷体_GB2312" w:cs="Times New Roman"/>
          <w:color w:val="auto"/>
          <w:highlight w:val="none"/>
          <w:lang w:val="en-US" w:eastAsia="zh-CN"/>
        </w:rPr>
        <w:t>）</w:t>
      </w:r>
    </w:p>
    <w:p>
      <w:pPr>
        <w:ind w:firstLine="643"/>
        <w:rPr>
          <w:rFonts w:hint="default" w:ascii="Times New Roman" w:hAnsi="Times New Roman" w:cs="Times New Roman"/>
          <w:color w:val="auto"/>
          <w:highlight w:val="none"/>
        </w:rPr>
      </w:pPr>
      <w:r>
        <w:rPr>
          <w:rFonts w:hint="default" w:ascii="Times New Roman" w:hAnsi="Times New Roman" w:cs="Times New Roman"/>
          <w:b/>
          <w:bCs/>
          <w:color w:val="auto"/>
          <w:highlight w:val="none"/>
          <w:lang w:val="en-US" w:eastAsia="zh-CN"/>
        </w:rPr>
        <w:t>1</w:t>
      </w:r>
      <w:r>
        <w:rPr>
          <w:rFonts w:hint="eastAsia" w:ascii="Times New Roman" w:hAnsi="Times New Roman" w:cs="Times New Roman"/>
          <w:b/>
          <w:bCs/>
          <w:color w:val="auto"/>
          <w:highlight w:val="none"/>
          <w:lang w:val="en-US" w:eastAsia="zh-CN"/>
        </w:rPr>
        <w:t>1</w:t>
      </w:r>
      <w:r>
        <w:rPr>
          <w:rFonts w:hint="default" w:ascii="Times New Roman" w:hAnsi="Times New Roman" w:cs="Times New Roman"/>
          <w:b/>
          <w:bCs/>
          <w:color w:val="auto"/>
          <w:highlight w:val="none"/>
          <w:lang w:val="en-US" w:eastAsia="zh-CN"/>
        </w:rPr>
        <w:t>.</w:t>
      </w:r>
      <w:r>
        <w:rPr>
          <w:rFonts w:hint="default" w:ascii="Times New Roman" w:hAnsi="Times New Roman" w:cs="Times New Roman"/>
          <w:b/>
          <w:bCs/>
          <w:color w:val="auto"/>
          <w:highlight w:val="none"/>
        </w:rPr>
        <w:t>持续优化营商环境。</w:t>
      </w:r>
      <w:r>
        <w:rPr>
          <w:rFonts w:hint="default" w:ascii="Times New Roman" w:hAnsi="Times New Roman" w:cs="Times New Roman"/>
          <w:color w:val="auto"/>
          <w:highlight w:val="none"/>
          <w:lang w:eastAsia="zh-CN"/>
        </w:rPr>
        <w:t>健全以信用为基础的新型监管机制，持续推动实施专项信用报告替代无违法记录证明。持续开展优化营商环境攻坚突破专项行动，优化提升政务服务，健全公平竞争审查、市场准营承诺即入制、涉企收费长效监管机制，降低企业经营成本。</w:t>
      </w:r>
      <w:r>
        <w:rPr>
          <w:rFonts w:hint="default" w:ascii="Times New Roman" w:hAnsi="Times New Roman" w:eastAsia="楷体_GB2312" w:cs="Times New Roman"/>
          <w:color w:val="auto"/>
          <w:highlight w:val="none"/>
        </w:rPr>
        <w:t>（责任单位：</w:t>
      </w:r>
      <w:r>
        <w:rPr>
          <w:rFonts w:hint="default" w:ascii="Times New Roman" w:hAnsi="Times New Roman" w:eastAsia="楷体_GB2312" w:cs="Times New Roman"/>
          <w:color w:val="auto"/>
          <w:highlight w:val="none"/>
          <w:lang w:val="en-US" w:eastAsia="zh-CN"/>
        </w:rPr>
        <w:t>区</w:t>
      </w:r>
      <w:r>
        <w:rPr>
          <w:rFonts w:hint="default" w:ascii="Times New Roman" w:hAnsi="Times New Roman" w:eastAsia="楷体_GB2312" w:cs="Times New Roman"/>
          <w:color w:val="auto"/>
          <w:highlight w:val="none"/>
        </w:rPr>
        <w:t>发改</w:t>
      </w:r>
      <w:r>
        <w:rPr>
          <w:rFonts w:hint="default" w:ascii="Times New Roman" w:hAnsi="Times New Roman" w:eastAsia="楷体_GB2312" w:cs="Times New Roman"/>
          <w:color w:val="auto"/>
          <w:highlight w:val="none"/>
          <w:lang w:val="en-US" w:eastAsia="zh-CN"/>
        </w:rPr>
        <w:t>局</w:t>
      </w:r>
      <w:r>
        <w:rPr>
          <w:rFonts w:hint="eastAsia" w:ascii="Times New Roman" w:hAnsi="Times New Roman" w:eastAsia="楷体_GB2312" w:cs="Times New Roman"/>
          <w:color w:val="auto"/>
          <w:highlight w:val="none"/>
          <w:lang w:val="en-US" w:eastAsia="zh-CN"/>
        </w:rPr>
        <w:t>、数据管理局、市场监管局</w:t>
      </w:r>
      <w:r>
        <w:rPr>
          <w:rFonts w:hint="default" w:ascii="Times New Roman" w:hAnsi="Times New Roman" w:eastAsia="楷体_GB2312" w:cs="Times New Roman"/>
          <w:color w:val="auto"/>
          <w:highlight w:val="none"/>
        </w:rPr>
        <w:t>）</w:t>
      </w:r>
    </w:p>
    <w:p>
      <w:pPr>
        <w:ind w:firstLine="643"/>
        <w:rPr>
          <w:rFonts w:hint="default" w:ascii="Times New Roman" w:hAnsi="Times New Roman" w:eastAsia="黑体" w:cs="Times New Roman"/>
          <w:b w:val="0"/>
          <w:bCs w:val="0"/>
          <w:color w:val="auto"/>
          <w:highlight w:val="none"/>
          <w:lang w:val="en-US" w:eastAsia="zh-CN"/>
        </w:rPr>
      </w:pPr>
      <w:r>
        <w:rPr>
          <w:rFonts w:hint="eastAsia" w:ascii="Times New Roman" w:hAnsi="Times New Roman" w:eastAsia="黑体" w:cs="Times New Roman"/>
          <w:b w:val="0"/>
          <w:bCs w:val="0"/>
          <w:color w:val="auto"/>
          <w:highlight w:val="none"/>
          <w:lang w:val="en-US" w:eastAsia="zh-CN"/>
        </w:rPr>
        <w:t>五、加大资金支持力度</w:t>
      </w:r>
    </w:p>
    <w:p>
      <w:pPr>
        <w:numPr>
          <w:ilvl w:val="0"/>
          <w:numId w:val="0"/>
        </w:numPr>
        <w:ind w:firstLine="643" w:firstLineChars="200"/>
        <w:rPr>
          <w:rFonts w:hint="default" w:ascii="Times New Roman" w:hAnsi="Times New Roman" w:eastAsia="楷体_GB2312" w:cs="Times New Roman"/>
          <w:color w:val="auto"/>
          <w:highlight w:val="none"/>
          <w:u w:val="none"/>
          <w:lang w:eastAsia="zh-CN"/>
        </w:rPr>
      </w:pPr>
      <w:r>
        <w:rPr>
          <w:rFonts w:hint="default" w:ascii="Times New Roman" w:hAnsi="Times New Roman" w:eastAsia="仿宋_GB2312" w:cs="Times New Roman"/>
          <w:b/>
          <w:bCs/>
          <w:color w:val="auto"/>
          <w:highlight w:val="none"/>
          <w:u w:val="none"/>
          <w:lang w:val="en-US" w:eastAsia="zh-CN"/>
        </w:rPr>
        <w:t>1</w:t>
      </w:r>
      <w:r>
        <w:rPr>
          <w:rFonts w:hint="eastAsia" w:ascii="Times New Roman" w:hAnsi="Times New Roman" w:cs="Times New Roman"/>
          <w:b/>
          <w:bCs/>
          <w:color w:val="auto"/>
          <w:highlight w:val="none"/>
          <w:u w:val="none"/>
          <w:lang w:val="en-US" w:eastAsia="zh-CN"/>
        </w:rPr>
        <w:t>2</w:t>
      </w:r>
      <w:r>
        <w:rPr>
          <w:rFonts w:hint="default" w:ascii="Times New Roman" w:hAnsi="Times New Roman" w:eastAsia="仿宋_GB2312" w:cs="Times New Roman"/>
          <w:b/>
          <w:bCs/>
          <w:color w:val="auto"/>
          <w:highlight w:val="none"/>
          <w:u w:val="none"/>
          <w:lang w:val="en-US" w:eastAsia="zh-CN"/>
        </w:rPr>
        <w:t>.</w:t>
      </w:r>
      <w:r>
        <w:rPr>
          <w:rFonts w:hint="default" w:ascii="Times New Roman" w:hAnsi="Times New Roman" w:cs="Times New Roman"/>
          <w:b/>
          <w:bCs/>
          <w:color w:val="auto"/>
          <w:highlight w:val="none"/>
          <w:u w:val="none"/>
        </w:rPr>
        <w:t>加大</w:t>
      </w:r>
      <w:r>
        <w:rPr>
          <w:rFonts w:hint="default" w:ascii="Times New Roman" w:hAnsi="Times New Roman" w:eastAsia="仿宋_GB2312" w:cs="Times New Roman"/>
          <w:b/>
          <w:bCs/>
          <w:color w:val="auto"/>
          <w:highlight w:val="none"/>
          <w:u w:val="none"/>
          <w:lang w:eastAsia="zh-CN"/>
        </w:rPr>
        <w:t>小微企业融资支持</w:t>
      </w:r>
      <w:r>
        <w:rPr>
          <w:rFonts w:hint="default" w:ascii="Times New Roman" w:hAnsi="Times New Roman" w:cs="Times New Roman"/>
          <w:b/>
          <w:bCs/>
          <w:color w:val="auto"/>
          <w:highlight w:val="none"/>
          <w:u w:val="none"/>
        </w:rPr>
        <w:t>。</w:t>
      </w:r>
      <w:r>
        <w:rPr>
          <w:rFonts w:hint="default" w:ascii="Times New Roman" w:hAnsi="Times New Roman" w:eastAsia="仿宋_GB2312" w:cs="Times New Roman"/>
          <w:color w:val="auto"/>
          <w:highlight w:val="none"/>
          <w:u w:val="none"/>
          <w:lang w:eastAsia="zh-CN"/>
        </w:rPr>
        <w:t>完善</w:t>
      </w:r>
      <w:r>
        <w:rPr>
          <w:rFonts w:hint="default" w:ascii="Times New Roman" w:hAnsi="Times New Roman" w:cs="Times New Roman"/>
          <w:color w:val="auto"/>
          <w:highlight w:val="none"/>
          <w:u w:val="none"/>
          <w:lang w:val="en-US" w:eastAsia="zh-CN"/>
        </w:rPr>
        <w:t>翔安区</w:t>
      </w:r>
      <w:r>
        <w:rPr>
          <w:rFonts w:hint="default" w:ascii="Times New Roman" w:hAnsi="Times New Roman" w:eastAsia="仿宋_GB2312" w:cs="Times New Roman"/>
          <w:color w:val="auto"/>
          <w:highlight w:val="none"/>
          <w:u w:val="none"/>
          <w:lang w:eastAsia="zh-CN"/>
        </w:rPr>
        <w:t>支持小微企业融资协调工作机制，</w:t>
      </w:r>
      <w:r>
        <w:rPr>
          <w:rFonts w:hint="eastAsia" w:ascii="Times New Roman" w:hAnsi="Times New Roman" w:cs="Times New Roman"/>
          <w:color w:val="auto"/>
          <w:highlight w:val="none"/>
          <w:u w:val="none"/>
          <w:lang w:eastAsia="zh-CN"/>
        </w:rPr>
        <w:t>深化</w:t>
      </w:r>
      <w:r>
        <w:rPr>
          <w:rFonts w:hint="default" w:ascii="Times New Roman" w:hAnsi="Times New Roman" w:eastAsia="仿宋_GB2312" w:cs="Times New Roman"/>
          <w:color w:val="auto"/>
          <w:highlight w:val="none"/>
          <w:u w:val="none"/>
          <w:lang w:eastAsia="zh-CN"/>
        </w:rPr>
        <w:t>“千企万户大走访”活动，力争实现对正常经营小微企业走访全覆盖、有效融资需求对接100%</w:t>
      </w:r>
      <w:r>
        <w:rPr>
          <w:rFonts w:hint="eastAsia" w:ascii="Times New Roman" w:hAnsi="Times New Roman" w:cs="Times New Roman"/>
          <w:color w:val="auto"/>
          <w:highlight w:val="none"/>
          <w:u w:val="none"/>
          <w:lang w:eastAsia="zh-CN"/>
        </w:rPr>
        <w:t>，并将走访范围拓展至</w:t>
      </w:r>
      <w:r>
        <w:rPr>
          <w:rFonts w:hint="default" w:ascii="Times New Roman" w:hAnsi="Times New Roman" w:eastAsia="仿宋_GB2312" w:cs="Times New Roman"/>
          <w:color w:val="auto"/>
          <w:highlight w:val="none"/>
          <w:u w:val="none"/>
          <w:lang w:eastAsia="zh-CN"/>
        </w:rPr>
        <w:t>个体工商户、农民合作社、家庭农场等</w:t>
      </w:r>
      <w:r>
        <w:rPr>
          <w:rFonts w:hint="eastAsia" w:ascii="Times New Roman" w:hAnsi="Times New Roman" w:cs="Times New Roman"/>
          <w:color w:val="auto"/>
          <w:highlight w:val="none"/>
          <w:u w:val="none"/>
          <w:lang w:eastAsia="zh-CN"/>
        </w:rPr>
        <w:t>其他经营主体。</w:t>
      </w:r>
      <w:r>
        <w:rPr>
          <w:rFonts w:hint="default" w:ascii="Times New Roman" w:hAnsi="Times New Roman" w:eastAsia="仿宋_GB2312" w:cs="Times New Roman"/>
          <w:color w:val="auto"/>
          <w:highlight w:val="none"/>
          <w:u w:val="none"/>
          <w:lang w:eastAsia="zh-CN"/>
        </w:rPr>
        <w:t>推动首贷、信用贷、无还本续贷，实现普惠型小微企业贷款余额持续增长</w:t>
      </w:r>
      <w:r>
        <w:rPr>
          <w:rFonts w:hint="default" w:ascii="Times New Roman" w:hAnsi="Times New Roman" w:cs="Times New Roman"/>
          <w:color w:val="auto"/>
          <w:highlight w:val="none"/>
          <w:u w:val="none"/>
          <w:lang w:eastAsia="zh-CN"/>
        </w:rPr>
        <w:t>。</w:t>
      </w:r>
      <w:r>
        <w:rPr>
          <w:rFonts w:hint="default" w:ascii="Times New Roman" w:hAnsi="Times New Roman" w:eastAsia="楷体_GB2312" w:cs="Times New Roman"/>
          <w:color w:val="auto"/>
          <w:highlight w:val="none"/>
          <w:u w:val="none"/>
          <w:lang w:eastAsia="zh-CN"/>
        </w:rPr>
        <w:t>（责任单位：</w:t>
      </w:r>
      <w:r>
        <w:rPr>
          <w:rFonts w:hint="default" w:ascii="Times New Roman" w:hAnsi="Times New Roman" w:eastAsia="楷体_GB2312" w:cs="Times New Roman"/>
          <w:color w:val="auto"/>
          <w:highlight w:val="none"/>
          <w:u w:val="none"/>
          <w:lang w:val="en-US" w:eastAsia="zh-CN"/>
        </w:rPr>
        <w:t>区</w:t>
      </w:r>
      <w:r>
        <w:rPr>
          <w:rFonts w:hint="default" w:ascii="Times New Roman" w:hAnsi="Times New Roman" w:eastAsia="楷体_GB2312" w:cs="Times New Roman"/>
          <w:color w:val="auto"/>
          <w:highlight w:val="none"/>
          <w:u w:val="none"/>
          <w:lang w:eastAsia="zh-CN"/>
        </w:rPr>
        <w:t>发改</w:t>
      </w:r>
      <w:r>
        <w:rPr>
          <w:rFonts w:hint="default" w:ascii="Times New Roman" w:hAnsi="Times New Roman" w:eastAsia="楷体_GB2312" w:cs="Times New Roman"/>
          <w:color w:val="auto"/>
          <w:highlight w:val="none"/>
          <w:u w:val="none"/>
          <w:lang w:val="en-US" w:eastAsia="zh-CN"/>
        </w:rPr>
        <w:t>局</w:t>
      </w:r>
      <w:r>
        <w:rPr>
          <w:rFonts w:hint="eastAsia" w:ascii="Times New Roman" w:hAnsi="Times New Roman" w:eastAsia="楷体_GB2312" w:cs="Times New Roman"/>
          <w:color w:val="auto"/>
          <w:highlight w:val="none"/>
          <w:u w:val="none"/>
          <w:lang w:eastAsia="zh-CN"/>
        </w:rPr>
        <w:t>、</w:t>
      </w:r>
      <w:r>
        <w:rPr>
          <w:rFonts w:hint="default" w:ascii="Times New Roman" w:hAnsi="Times New Roman" w:eastAsia="楷体_GB2312" w:cs="Times New Roman"/>
          <w:color w:val="auto"/>
          <w:highlight w:val="none"/>
          <w:u w:val="none"/>
          <w:lang w:val="en-US" w:eastAsia="zh-CN"/>
        </w:rPr>
        <w:t>财政局</w:t>
      </w:r>
      <w:r>
        <w:rPr>
          <w:rFonts w:hint="default" w:ascii="Times New Roman" w:hAnsi="Times New Roman" w:eastAsia="楷体_GB2312" w:cs="Times New Roman"/>
          <w:color w:val="auto"/>
          <w:highlight w:val="none"/>
          <w:u w:val="none"/>
          <w:lang w:eastAsia="zh-CN"/>
        </w:rPr>
        <w:t>，各</w:t>
      </w:r>
      <w:r>
        <w:rPr>
          <w:rFonts w:hint="default" w:ascii="Times New Roman" w:hAnsi="Times New Roman" w:eastAsia="楷体_GB2312" w:cs="Times New Roman"/>
          <w:color w:val="auto"/>
          <w:highlight w:val="none"/>
          <w:u w:val="none"/>
          <w:lang w:val="en-US" w:eastAsia="zh-CN"/>
        </w:rPr>
        <w:t>镇街</w:t>
      </w:r>
      <w:r>
        <w:rPr>
          <w:rFonts w:hint="default" w:ascii="Times New Roman" w:hAnsi="Times New Roman" w:eastAsia="楷体_GB2312" w:cs="Times New Roman"/>
          <w:color w:val="auto"/>
          <w:highlight w:val="none"/>
          <w:u w:val="none"/>
          <w:lang w:eastAsia="zh-CN"/>
        </w:rPr>
        <w:t>）</w:t>
      </w:r>
    </w:p>
    <w:p>
      <w:pPr>
        <w:numPr>
          <w:ilvl w:val="0"/>
          <w:numId w:val="0"/>
        </w:numPr>
        <w:ind w:firstLine="643" w:firstLineChars="200"/>
        <w:rPr>
          <w:rFonts w:hint="default" w:ascii="Times New Roman" w:hAnsi="Times New Roman" w:eastAsia="楷体_GB2312" w:cs="Times New Roman"/>
          <w:color w:val="auto"/>
          <w:highlight w:val="none"/>
          <w:u w:val="none"/>
        </w:rPr>
      </w:pPr>
      <w:r>
        <w:rPr>
          <w:rFonts w:hint="default" w:ascii="Times New Roman" w:hAnsi="Times New Roman" w:cs="Times New Roman"/>
          <w:b/>
          <w:bCs/>
          <w:color w:val="auto"/>
          <w:highlight w:val="none"/>
          <w:u w:val="none"/>
          <w:lang w:val="en-US" w:eastAsia="zh-CN"/>
        </w:rPr>
        <w:t>1</w:t>
      </w:r>
      <w:r>
        <w:rPr>
          <w:rFonts w:hint="eastAsia" w:ascii="Times New Roman" w:hAnsi="Times New Roman" w:cs="Times New Roman"/>
          <w:b/>
          <w:bCs/>
          <w:color w:val="auto"/>
          <w:highlight w:val="none"/>
          <w:u w:val="none"/>
          <w:lang w:val="en-US" w:eastAsia="zh-CN"/>
        </w:rPr>
        <w:t>3</w:t>
      </w:r>
      <w:r>
        <w:rPr>
          <w:rFonts w:hint="default" w:ascii="Times New Roman" w:hAnsi="Times New Roman" w:eastAsia="仿宋_GB2312" w:cs="Times New Roman"/>
          <w:b/>
          <w:bCs/>
          <w:color w:val="auto"/>
          <w:highlight w:val="none"/>
          <w:u w:val="none"/>
          <w:lang w:val="en-US" w:eastAsia="zh-CN"/>
        </w:rPr>
        <w:t>.</w:t>
      </w:r>
      <w:r>
        <w:rPr>
          <w:rFonts w:hint="default" w:ascii="Times New Roman" w:hAnsi="Times New Roman" w:cs="Times New Roman"/>
          <w:b/>
          <w:bCs/>
          <w:color w:val="auto"/>
          <w:highlight w:val="none"/>
          <w:u w:val="none"/>
        </w:rPr>
        <w:t>发挥政府性融资担保作用</w:t>
      </w:r>
      <w:r>
        <w:rPr>
          <w:rFonts w:hint="default" w:ascii="Times New Roman" w:hAnsi="Times New Roman" w:eastAsia="仿宋_GB2312" w:cs="Times New Roman"/>
          <w:b/>
          <w:bCs/>
          <w:color w:val="auto"/>
          <w:highlight w:val="none"/>
          <w:u w:val="none"/>
          <w:lang w:eastAsia="zh-CN"/>
        </w:rPr>
        <w:t>。</w:t>
      </w:r>
      <w:r>
        <w:rPr>
          <w:rFonts w:hint="default" w:ascii="Times New Roman" w:hAnsi="Times New Roman" w:eastAsia="仿宋_GB2312" w:cs="Times New Roman"/>
          <w:color w:val="auto"/>
          <w:highlight w:val="none"/>
          <w:u w:val="none"/>
          <w:lang w:eastAsia="zh-CN"/>
        </w:rPr>
        <w:t>发挥政府性融资担保机构的作用，用好政府性融资担保政策</w:t>
      </w:r>
      <w:r>
        <w:rPr>
          <w:rFonts w:hint="eastAsia" w:ascii="Times New Roman" w:hAnsi="Times New Roman" w:eastAsia="仿宋_GB2312" w:cs="Times New Roman"/>
          <w:color w:val="auto"/>
          <w:highlight w:val="none"/>
          <w:u w:val="none"/>
          <w:lang w:eastAsia="zh-CN"/>
        </w:rPr>
        <w:t>，</w:t>
      </w:r>
      <w:r>
        <w:rPr>
          <w:rFonts w:hint="default" w:ascii="Times New Roman" w:hAnsi="Times New Roman" w:eastAsia="仿宋_GB2312" w:cs="Times New Roman"/>
          <w:color w:val="auto"/>
          <w:highlight w:val="none"/>
          <w:u w:val="none"/>
          <w:lang w:eastAsia="zh-CN"/>
        </w:rPr>
        <w:t>促进融资担保增量扩面，继续为翔安区中小微企业及涉农经营主体提供年化不超过1.5%的优惠担保费率，同时按照基准贷款利息的一定比例给予贷款贴息。</w:t>
      </w:r>
      <w:r>
        <w:rPr>
          <w:rFonts w:hint="default" w:ascii="Times New Roman" w:hAnsi="Times New Roman" w:eastAsia="楷体_GB2312" w:cs="Times New Roman"/>
          <w:color w:val="auto"/>
          <w:highlight w:val="none"/>
          <w:u w:val="none"/>
        </w:rPr>
        <w:t>（责任单位：</w:t>
      </w:r>
      <w:r>
        <w:rPr>
          <w:rFonts w:hint="default" w:ascii="Times New Roman" w:hAnsi="Times New Roman" w:eastAsia="楷体_GB2312" w:cs="Times New Roman"/>
          <w:color w:val="auto"/>
          <w:highlight w:val="none"/>
          <w:u w:val="none"/>
          <w:lang w:val="en-US" w:eastAsia="zh-CN"/>
        </w:rPr>
        <w:t>区</w:t>
      </w:r>
      <w:r>
        <w:rPr>
          <w:rFonts w:hint="default" w:ascii="Times New Roman" w:hAnsi="Times New Roman" w:eastAsia="楷体_GB2312" w:cs="Times New Roman"/>
          <w:color w:val="auto"/>
          <w:highlight w:val="none"/>
          <w:u w:val="none"/>
        </w:rPr>
        <w:t>财政局）</w:t>
      </w:r>
    </w:p>
    <w:p>
      <w:pPr>
        <w:ind w:firstLine="640"/>
        <w:rPr>
          <w:rFonts w:hint="default" w:ascii="Times New Roman" w:hAnsi="Times New Roman" w:eastAsia="楷体_GB2312" w:cs="Times New Roman"/>
          <w:color w:val="auto"/>
          <w:highlight w:val="none"/>
          <w:u w:val="none"/>
          <w:lang w:val="en-US" w:eastAsia="zh-CN"/>
        </w:rPr>
      </w:pPr>
      <w:r>
        <w:rPr>
          <w:rFonts w:hint="eastAsia" w:ascii="Times New Roman" w:hAnsi="Times New Roman" w:cs="Times New Roman"/>
          <w:b/>
          <w:bCs/>
          <w:color w:val="auto"/>
          <w:szCs w:val="32"/>
          <w:highlight w:val="none"/>
          <w:lang w:val="en-US" w:eastAsia="zh-CN"/>
        </w:rPr>
        <w:t>14</w:t>
      </w:r>
      <w:r>
        <w:rPr>
          <w:rFonts w:hint="default" w:ascii="Times New Roman" w:hAnsi="Times New Roman" w:cs="Times New Roman"/>
          <w:b/>
          <w:bCs/>
          <w:color w:val="auto"/>
          <w:szCs w:val="32"/>
          <w:highlight w:val="none"/>
        </w:rPr>
        <w:t>.</w:t>
      </w:r>
      <w:r>
        <w:rPr>
          <w:rFonts w:hint="default" w:ascii="Times New Roman" w:hAnsi="Times New Roman" w:cs="Times New Roman"/>
          <w:b/>
          <w:bCs/>
          <w:color w:val="auto"/>
          <w:highlight w:val="none"/>
        </w:rPr>
        <w:t>拓宽利用外资渠道。</w:t>
      </w:r>
      <w:r>
        <w:rPr>
          <w:rFonts w:hint="default" w:ascii="Times New Roman" w:hAnsi="Times New Roman" w:cs="Times New Roman"/>
          <w:color w:val="auto"/>
          <w:highlight w:val="none"/>
          <w:u w:val="none"/>
        </w:rPr>
        <w:t>对符合条件的新设立（含并购）、现有（含增资）外商投资企业，制造业投资项目按年实际使用外资到资投资</w:t>
      </w:r>
      <w:r>
        <w:rPr>
          <w:rFonts w:hint="default" w:ascii="Times New Roman" w:hAnsi="Times New Roman" w:cs="Times New Roman"/>
          <w:color w:val="auto"/>
          <w:highlight w:val="none"/>
          <w:u w:val="none"/>
          <w:lang w:eastAsia="zh-CN"/>
        </w:rPr>
        <w:t>我市</w:t>
      </w:r>
      <w:r>
        <w:rPr>
          <w:rFonts w:hint="default" w:ascii="Times New Roman" w:hAnsi="Times New Roman" w:cs="Times New Roman"/>
          <w:color w:val="auto"/>
          <w:highlight w:val="none"/>
          <w:u w:val="none"/>
        </w:rPr>
        <w:t>金额的3%给予奖励，其他投资项目按年实际使用外资到资投资</w:t>
      </w:r>
      <w:r>
        <w:rPr>
          <w:rFonts w:hint="default" w:ascii="Times New Roman" w:hAnsi="Times New Roman" w:cs="Times New Roman"/>
          <w:color w:val="auto"/>
          <w:highlight w:val="none"/>
          <w:u w:val="none"/>
          <w:lang w:eastAsia="zh-CN"/>
        </w:rPr>
        <w:t>我市</w:t>
      </w:r>
      <w:r>
        <w:rPr>
          <w:rFonts w:hint="default" w:ascii="Times New Roman" w:hAnsi="Times New Roman" w:cs="Times New Roman"/>
          <w:color w:val="auto"/>
          <w:highlight w:val="none"/>
          <w:u w:val="none"/>
        </w:rPr>
        <w:t>金额的2%给予奖励，单个企业奖励最高不超过2000万元人民币。</w:t>
      </w:r>
      <w:r>
        <w:rPr>
          <w:rFonts w:hint="default" w:ascii="Times New Roman" w:hAnsi="Times New Roman" w:eastAsia="楷体_GB2312" w:cs="Times New Roman"/>
          <w:color w:val="auto"/>
          <w:highlight w:val="none"/>
          <w:u w:val="none"/>
        </w:rPr>
        <w:t>（责任单位：</w:t>
      </w:r>
      <w:r>
        <w:rPr>
          <w:rFonts w:hint="default" w:ascii="Times New Roman" w:hAnsi="Times New Roman" w:eastAsia="楷体_GB2312" w:cs="Times New Roman"/>
          <w:color w:val="auto"/>
          <w:highlight w:val="none"/>
          <w:lang w:val="en-US" w:eastAsia="zh-CN"/>
        </w:rPr>
        <w:t>区</w:t>
      </w:r>
      <w:r>
        <w:rPr>
          <w:rFonts w:hint="default" w:ascii="Times New Roman" w:hAnsi="Times New Roman" w:eastAsia="楷体_GB2312" w:cs="Times New Roman"/>
          <w:color w:val="auto"/>
          <w:highlight w:val="none"/>
          <w:u w:val="none"/>
          <w:lang w:val="en-US" w:eastAsia="zh-CN"/>
        </w:rPr>
        <w:t>科技和工信商务局</w:t>
      </w:r>
      <w:r>
        <w:rPr>
          <w:rFonts w:hint="default" w:ascii="Times New Roman" w:hAnsi="Times New Roman" w:eastAsia="楷体_GB2312" w:cs="Times New Roman"/>
          <w:color w:val="auto"/>
          <w:highlight w:val="none"/>
          <w:lang w:eastAsia="zh-CN"/>
        </w:rPr>
        <w:t>、财政局</w:t>
      </w:r>
      <w:r>
        <w:rPr>
          <w:rFonts w:hint="default" w:ascii="Times New Roman" w:hAnsi="Times New Roman" w:eastAsia="楷体_GB2312" w:cs="Times New Roman"/>
          <w:color w:val="auto"/>
          <w:highlight w:val="none"/>
          <w:u w:val="none"/>
        </w:rPr>
        <w:t>）</w:t>
      </w:r>
    </w:p>
    <w:p>
      <w:pPr>
        <w:numPr>
          <w:ilvl w:val="0"/>
          <w:numId w:val="0"/>
        </w:numPr>
        <w:ind w:firstLine="640" w:firstLineChars="200"/>
        <w:rPr>
          <w:rFonts w:hint="default" w:ascii="Times New Roman" w:hAnsi="Times New Roman" w:eastAsia="黑体" w:cs="Times New Roman"/>
          <w:color w:val="auto"/>
          <w:highlight w:val="none"/>
        </w:rPr>
      </w:pPr>
      <w:r>
        <w:rPr>
          <w:rFonts w:hint="eastAsia" w:ascii="Times New Roman" w:hAnsi="Times New Roman" w:eastAsia="黑体" w:cs="Times New Roman"/>
          <w:color w:val="auto"/>
          <w:kern w:val="2"/>
          <w:sz w:val="32"/>
          <w:szCs w:val="24"/>
          <w:lang w:val="en-US" w:eastAsia="zh-CN" w:bidi="ar-SA"/>
        </w:rPr>
        <w:t>六、</w:t>
      </w:r>
      <w:r>
        <w:rPr>
          <w:rFonts w:hint="eastAsia" w:ascii="Times New Roman" w:hAnsi="Times New Roman" w:eastAsia="黑体" w:cs="Times New Roman"/>
          <w:color w:val="auto"/>
          <w:highlight w:val="none"/>
          <w:lang w:eastAsia="zh-CN"/>
        </w:rPr>
        <w:t>推进</w:t>
      </w:r>
      <w:r>
        <w:rPr>
          <w:rFonts w:hint="default" w:ascii="Times New Roman" w:hAnsi="Times New Roman" w:eastAsia="黑体" w:cs="Times New Roman"/>
          <w:color w:val="auto"/>
          <w:highlight w:val="none"/>
        </w:rPr>
        <w:t>冬春农业生产</w:t>
      </w:r>
    </w:p>
    <w:p>
      <w:pPr>
        <w:ind w:firstLine="643"/>
        <w:rPr>
          <w:rFonts w:hint="default" w:ascii="Times New Roman" w:hAnsi="Times New Roman" w:eastAsia="楷体_GB2312" w:cs="Times New Roman"/>
          <w:color w:val="auto"/>
          <w:highlight w:val="none"/>
        </w:rPr>
      </w:pPr>
      <w:r>
        <w:rPr>
          <w:rFonts w:hint="default" w:ascii="Times New Roman" w:hAnsi="Times New Roman" w:cs="Times New Roman"/>
          <w:b/>
          <w:bCs/>
          <w:color w:val="auto"/>
          <w:highlight w:val="none"/>
          <w:lang w:val="en-US" w:eastAsia="zh-CN"/>
        </w:rPr>
        <w:t>1</w:t>
      </w:r>
      <w:r>
        <w:rPr>
          <w:rFonts w:hint="eastAsia" w:ascii="Times New Roman" w:hAnsi="Times New Roman" w:cs="Times New Roman"/>
          <w:b/>
          <w:bCs/>
          <w:color w:val="auto"/>
          <w:highlight w:val="none"/>
          <w:lang w:val="en-US" w:eastAsia="zh-CN"/>
        </w:rPr>
        <w:t>5</w:t>
      </w:r>
      <w:r>
        <w:rPr>
          <w:rFonts w:hint="default" w:ascii="Times New Roman" w:hAnsi="Times New Roman" w:cs="Times New Roman"/>
          <w:b/>
          <w:bCs/>
          <w:color w:val="auto"/>
          <w:highlight w:val="none"/>
        </w:rPr>
        <w:t>.抓</w:t>
      </w:r>
      <w:r>
        <w:rPr>
          <w:rFonts w:hint="eastAsia" w:ascii="Times New Roman" w:hAnsi="Times New Roman" w:cs="Times New Roman"/>
          <w:b/>
          <w:bCs/>
          <w:color w:val="auto"/>
          <w:highlight w:val="none"/>
          <w:lang w:eastAsia="zh-CN"/>
        </w:rPr>
        <w:t>紧</w:t>
      </w:r>
      <w:r>
        <w:rPr>
          <w:rFonts w:hint="default" w:ascii="Times New Roman" w:hAnsi="Times New Roman" w:cs="Times New Roman"/>
          <w:b/>
          <w:bCs/>
          <w:color w:val="auto"/>
          <w:highlight w:val="none"/>
        </w:rPr>
        <w:t>抓好春耕春播。</w:t>
      </w:r>
      <w:r>
        <w:rPr>
          <w:rFonts w:hint="default" w:ascii="Times New Roman" w:hAnsi="Times New Roman" w:cs="Times New Roman"/>
          <w:b w:val="0"/>
          <w:bCs w:val="0"/>
          <w:color w:val="auto"/>
          <w:highlight w:val="none"/>
        </w:rPr>
        <w:t>落实粮食生产任务，抓好0.57万亩早稻和0.18万亩春播旱粮任务。农机社会化服务作业面积机耕1600亩，机播和机收各900亩。</w:t>
      </w:r>
      <w:r>
        <w:rPr>
          <w:rFonts w:hint="default" w:ascii="Times New Roman" w:hAnsi="Times New Roman" w:eastAsia="楷体_GB2312" w:cs="Times New Roman"/>
          <w:b w:val="0"/>
          <w:bCs w:val="0"/>
          <w:color w:val="auto"/>
          <w:highlight w:val="none"/>
        </w:rPr>
        <w:t>（责任单位：</w:t>
      </w:r>
      <w:r>
        <w:rPr>
          <w:rFonts w:hint="default" w:ascii="Times New Roman" w:hAnsi="Times New Roman" w:eastAsia="楷体_GB2312" w:cs="Times New Roman"/>
          <w:b w:val="0"/>
          <w:bCs w:val="0"/>
          <w:color w:val="auto"/>
          <w:highlight w:val="none"/>
          <w:lang w:val="en-US" w:eastAsia="zh-CN"/>
        </w:rPr>
        <w:t>区</w:t>
      </w:r>
      <w:r>
        <w:rPr>
          <w:rFonts w:hint="default" w:ascii="Times New Roman" w:hAnsi="Times New Roman" w:eastAsia="楷体_GB2312" w:cs="Times New Roman"/>
          <w:b w:val="0"/>
          <w:bCs w:val="0"/>
          <w:color w:val="auto"/>
          <w:highlight w:val="none"/>
        </w:rPr>
        <w:t>农业农村和水利局，各镇街）</w:t>
      </w:r>
    </w:p>
    <w:p>
      <w:pPr>
        <w:ind w:firstLine="643"/>
        <w:rPr>
          <w:rFonts w:hint="default" w:ascii="Times New Roman" w:hAnsi="Times New Roman" w:eastAsia="楷体_GB2312" w:cs="Times New Roman"/>
          <w:color w:val="auto"/>
          <w:highlight w:val="none"/>
        </w:rPr>
      </w:pPr>
      <w:r>
        <w:rPr>
          <w:rFonts w:hint="default" w:ascii="Times New Roman" w:hAnsi="Times New Roman" w:cs="Times New Roman"/>
          <w:b/>
          <w:bCs/>
          <w:color w:val="auto"/>
          <w:highlight w:val="none"/>
          <w:lang w:val="en-US" w:eastAsia="zh-CN"/>
        </w:rPr>
        <w:t>1</w:t>
      </w:r>
      <w:r>
        <w:rPr>
          <w:rFonts w:hint="eastAsia" w:ascii="Times New Roman" w:hAnsi="Times New Roman" w:cs="Times New Roman"/>
          <w:b/>
          <w:bCs/>
          <w:color w:val="auto"/>
          <w:highlight w:val="none"/>
          <w:lang w:val="en-US" w:eastAsia="zh-CN"/>
        </w:rPr>
        <w:t>6</w:t>
      </w:r>
      <w:r>
        <w:rPr>
          <w:rFonts w:hint="default" w:ascii="Times New Roman" w:hAnsi="Times New Roman" w:cs="Times New Roman"/>
          <w:b/>
          <w:bCs/>
          <w:color w:val="auto"/>
          <w:highlight w:val="none"/>
        </w:rPr>
        <w:t>.加强冬春粮食和重要农产品生产。</w:t>
      </w:r>
      <w:r>
        <w:rPr>
          <w:rFonts w:hint="default" w:ascii="Times New Roman" w:hAnsi="Times New Roman" w:cs="Times New Roman"/>
          <w:b w:val="0"/>
          <w:bCs w:val="0"/>
          <w:color w:val="auto"/>
          <w:highlight w:val="none"/>
        </w:rPr>
        <w:t>确保完成1.16万亩秋冬种粮食作物种植任务。建设2个马铃薯、甘薯示范点，力争春粮产量保持稳定。</w:t>
      </w:r>
      <w:r>
        <w:rPr>
          <w:rFonts w:hint="default" w:ascii="Times New Roman" w:hAnsi="Times New Roman" w:eastAsia="楷体_GB2312" w:cs="Times New Roman"/>
          <w:b w:val="0"/>
          <w:bCs w:val="0"/>
          <w:color w:val="auto"/>
          <w:highlight w:val="none"/>
        </w:rPr>
        <w:t>（责任单位：</w:t>
      </w:r>
      <w:r>
        <w:rPr>
          <w:rFonts w:hint="default" w:ascii="Times New Roman" w:hAnsi="Times New Roman" w:eastAsia="楷体_GB2312" w:cs="Times New Roman"/>
          <w:b w:val="0"/>
          <w:bCs w:val="0"/>
          <w:color w:val="auto"/>
          <w:highlight w:val="none"/>
          <w:lang w:val="en-US" w:eastAsia="zh-CN"/>
        </w:rPr>
        <w:t>区</w:t>
      </w:r>
      <w:r>
        <w:rPr>
          <w:rFonts w:hint="default" w:ascii="Times New Roman" w:hAnsi="Times New Roman" w:eastAsia="楷体_GB2312" w:cs="Times New Roman"/>
          <w:b w:val="0"/>
          <w:bCs w:val="0"/>
          <w:color w:val="auto"/>
          <w:highlight w:val="none"/>
        </w:rPr>
        <w:t>农业农村和水利局，各镇街）</w:t>
      </w:r>
    </w:p>
    <w:p>
      <w:pPr>
        <w:ind w:firstLine="640"/>
        <w:rPr>
          <w:rFonts w:hint="eastAsia" w:ascii="Times New Roman" w:hAnsi="Times New Roman" w:eastAsia="黑体" w:cs="Times New Roman"/>
          <w:color w:val="auto"/>
          <w:highlight w:val="none"/>
          <w:lang w:eastAsia="zh-CN"/>
        </w:rPr>
      </w:pPr>
      <w:r>
        <w:rPr>
          <w:rFonts w:hint="eastAsia" w:ascii="Times New Roman" w:hAnsi="Times New Roman" w:eastAsia="黑体" w:cs="Times New Roman"/>
          <w:color w:val="auto"/>
          <w:highlight w:val="none"/>
          <w:lang w:val="en-US" w:eastAsia="zh-CN"/>
        </w:rPr>
        <w:t>七</w:t>
      </w:r>
      <w:r>
        <w:rPr>
          <w:rFonts w:hint="default" w:ascii="Times New Roman" w:hAnsi="Times New Roman" w:eastAsia="黑体" w:cs="Times New Roman"/>
          <w:color w:val="auto"/>
          <w:highlight w:val="none"/>
        </w:rPr>
        <w:t>、</w:t>
      </w:r>
      <w:r>
        <w:rPr>
          <w:rFonts w:hint="eastAsia" w:ascii="Times New Roman" w:hAnsi="Times New Roman" w:eastAsia="黑体" w:cs="Times New Roman"/>
          <w:color w:val="auto"/>
          <w:highlight w:val="none"/>
          <w:lang w:eastAsia="zh-CN"/>
        </w:rPr>
        <w:t>提高</w:t>
      </w:r>
      <w:r>
        <w:rPr>
          <w:rFonts w:hint="default" w:ascii="Times New Roman" w:hAnsi="Times New Roman" w:eastAsia="黑体" w:cs="Times New Roman"/>
          <w:color w:val="auto"/>
          <w:highlight w:val="none"/>
        </w:rPr>
        <w:t>民生保障</w:t>
      </w:r>
      <w:r>
        <w:rPr>
          <w:rFonts w:hint="eastAsia" w:ascii="Times New Roman" w:hAnsi="Times New Roman" w:eastAsia="黑体" w:cs="Times New Roman"/>
          <w:color w:val="auto"/>
          <w:highlight w:val="none"/>
          <w:lang w:eastAsia="zh-CN"/>
        </w:rPr>
        <w:t>水平</w:t>
      </w:r>
    </w:p>
    <w:p>
      <w:pPr>
        <w:ind w:firstLine="643"/>
        <w:rPr>
          <w:rFonts w:hint="default" w:ascii="Times New Roman" w:hAnsi="Times New Roman" w:eastAsia="楷体_GB2312" w:cs="Times New Roman"/>
          <w:b w:val="0"/>
          <w:bCs w:val="0"/>
          <w:color w:val="auto"/>
          <w:highlight w:val="none"/>
          <w:u w:val="none"/>
          <w:lang w:val="en-US" w:eastAsia="zh-CN"/>
        </w:rPr>
      </w:pPr>
      <w:r>
        <w:rPr>
          <w:rFonts w:hint="eastAsia" w:ascii="Times New Roman" w:hAnsi="Times New Roman" w:cs="Times New Roman"/>
          <w:b/>
          <w:bCs/>
          <w:color w:val="auto"/>
          <w:highlight w:val="none"/>
          <w:lang w:val="en-US" w:eastAsia="zh-CN"/>
        </w:rPr>
        <w:t>17</w:t>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u w:val="none"/>
          <w:lang w:val="en-US" w:eastAsia="zh-CN"/>
        </w:rPr>
        <w:t>做好重要民生商品和能源保供。</w:t>
      </w:r>
      <w:r>
        <w:rPr>
          <w:rFonts w:hint="default" w:ascii="Times New Roman" w:hAnsi="Times New Roman" w:cs="Times New Roman"/>
          <w:b w:val="0"/>
          <w:bCs w:val="0"/>
          <w:color w:val="auto"/>
          <w:highlight w:val="none"/>
          <w:u w:val="none"/>
          <w:lang w:val="en-US" w:eastAsia="zh-CN"/>
        </w:rPr>
        <w:t>强化春节、元宵等节日以及异常天气、突发事件等重点时段的价格监测预警，密切关注重要民生商品的市场供求和价格变动情况，做好重要民生商品稳价工作，配合市发改委开展辖区平价商店巡察工作。</w:t>
      </w:r>
      <w:r>
        <w:rPr>
          <w:rFonts w:hint="eastAsia" w:ascii="Times New Roman" w:hAnsi="Times New Roman" w:cs="Times New Roman"/>
          <w:b w:val="0"/>
          <w:bCs w:val="0"/>
          <w:color w:val="auto"/>
          <w:highlight w:val="none"/>
          <w:u w:val="none"/>
          <w:lang w:val="en-US" w:eastAsia="zh-CN"/>
        </w:rPr>
        <w:t>强化能源保供，</w:t>
      </w:r>
      <w:r>
        <w:rPr>
          <w:rFonts w:hint="default" w:ascii="Times New Roman" w:hAnsi="Times New Roman" w:cs="Times New Roman"/>
          <w:b w:val="0"/>
          <w:bCs w:val="0"/>
          <w:color w:val="auto"/>
          <w:highlight w:val="none"/>
          <w:u w:val="none"/>
          <w:lang w:val="en-US" w:eastAsia="zh-CN"/>
        </w:rPr>
        <w:t>扎实做好迎峰度冬工作。</w:t>
      </w:r>
      <w:r>
        <w:rPr>
          <w:rFonts w:hint="eastAsia" w:ascii="Times New Roman" w:hAnsi="Times New Roman" w:eastAsia="楷体_GB2312" w:cs="Times New Roman"/>
          <w:b w:val="0"/>
          <w:bCs w:val="0"/>
          <w:color w:val="auto"/>
          <w:highlight w:val="none"/>
          <w:u w:val="none"/>
          <w:lang w:val="en-US" w:eastAsia="zh-CN"/>
        </w:rPr>
        <w:t>（</w:t>
      </w:r>
      <w:r>
        <w:rPr>
          <w:rFonts w:hint="default" w:ascii="Times New Roman" w:hAnsi="Times New Roman" w:eastAsia="楷体_GB2312" w:cs="Times New Roman"/>
          <w:b w:val="0"/>
          <w:bCs w:val="0"/>
          <w:color w:val="auto"/>
          <w:highlight w:val="none"/>
          <w:u w:val="none"/>
          <w:lang w:val="en-US" w:eastAsia="zh-CN"/>
        </w:rPr>
        <w:t>责任单位</w:t>
      </w:r>
      <w:r>
        <w:rPr>
          <w:rFonts w:hint="eastAsia" w:ascii="Times New Roman" w:hAnsi="Times New Roman" w:eastAsia="楷体_GB2312" w:cs="Times New Roman"/>
          <w:b w:val="0"/>
          <w:bCs w:val="0"/>
          <w:color w:val="auto"/>
          <w:highlight w:val="none"/>
          <w:u w:val="none"/>
          <w:lang w:val="en-US" w:eastAsia="zh-CN"/>
        </w:rPr>
        <w:t>：</w:t>
      </w:r>
      <w:r>
        <w:rPr>
          <w:rFonts w:hint="default" w:ascii="Times New Roman" w:hAnsi="Times New Roman" w:eastAsia="楷体_GB2312" w:cs="Times New Roman"/>
          <w:b w:val="0"/>
          <w:bCs w:val="0"/>
          <w:color w:val="auto"/>
          <w:highlight w:val="none"/>
          <w:u w:val="none"/>
          <w:lang w:val="en-US" w:eastAsia="zh-CN"/>
        </w:rPr>
        <w:t>区发改局</w:t>
      </w:r>
      <w:r>
        <w:rPr>
          <w:rFonts w:hint="eastAsia" w:ascii="Times New Roman" w:hAnsi="Times New Roman" w:eastAsia="楷体_GB2312" w:cs="Times New Roman"/>
          <w:b w:val="0"/>
          <w:bCs w:val="0"/>
          <w:color w:val="auto"/>
          <w:highlight w:val="none"/>
          <w:u w:val="none"/>
          <w:lang w:val="en-US" w:eastAsia="zh-CN"/>
        </w:rPr>
        <w:t>）</w:t>
      </w:r>
    </w:p>
    <w:p>
      <w:pPr>
        <w:widowControl w:val="0"/>
        <w:numPr>
          <w:ilvl w:val="0"/>
          <w:numId w:val="0"/>
        </w:numPr>
        <w:ind w:firstLine="643" w:firstLineChars="200"/>
        <w:jc w:val="both"/>
        <w:rPr>
          <w:rFonts w:hint="default" w:ascii="Times New Roman" w:hAnsi="Times New Roman" w:cs="Times New Roman"/>
          <w:color w:val="auto"/>
          <w:highlight w:val="none"/>
          <w:u w:val="none" w:color="auto"/>
        </w:rPr>
      </w:pPr>
      <w:r>
        <w:rPr>
          <w:rFonts w:hint="eastAsia" w:ascii="Times New Roman" w:hAnsi="Times New Roman" w:cs="Times New Roman"/>
          <w:b/>
          <w:bCs/>
          <w:color w:val="auto"/>
          <w:spacing w:val="0"/>
          <w:kern w:val="0"/>
          <w:sz w:val="32"/>
          <w:szCs w:val="32"/>
          <w:highlight w:val="none"/>
          <w:u w:val="none" w:color="auto"/>
          <w:lang w:val="en-US" w:eastAsia="zh-CN"/>
        </w:rPr>
        <w:t>18</w:t>
      </w:r>
      <w:r>
        <w:rPr>
          <w:rFonts w:hint="default" w:ascii="Times New Roman" w:hAnsi="Times New Roman" w:cs="Times New Roman"/>
          <w:b/>
          <w:bCs/>
          <w:color w:val="auto"/>
          <w:spacing w:val="0"/>
          <w:kern w:val="0"/>
          <w:sz w:val="32"/>
          <w:szCs w:val="32"/>
          <w:highlight w:val="none"/>
          <w:u w:val="none" w:color="auto"/>
          <w:lang w:val="en-US" w:eastAsia="zh-CN"/>
        </w:rPr>
        <w:t>.</w:t>
      </w:r>
      <w:r>
        <w:rPr>
          <w:rFonts w:hint="eastAsia" w:ascii="Times New Roman" w:hAnsi="Times New Roman" w:cs="Times New Roman"/>
          <w:b/>
          <w:bCs/>
          <w:color w:val="auto"/>
          <w:highlight w:val="none"/>
          <w:u w:val="none" w:color="auto"/>
          <w:lang w:eastAsia="zh-CN"/>
        </w:rPr>
        <w:t>抓实</w:t>
      </w:r>
      <w:r>
        <w:rPr>
          <w:rFonts w:hint="default" w:ascii="Times New Roman" w:hAnsi="Times New Roman" w:cs="Times New Roman"/>
          <w:b/>
          <w:bCs/>
          <w:color w:val="auto"/>
          <w:highlight w:val="none"/>
          <w:u w:val="none" w:color="auto"/>
        </w:rPr>
        <w:t>民生兜底保障工作。</w:t>
      </w:r>
      <w:r>
        <w:rPr>
          <w:rFonts w:hint="default" w:ascii="Times New Roman" w:hAnsi="Times New Roman" w:cs="Times New Roman"/>
          <w:color w:val="auto"/>
          <w:highlight w:val="none"/>
          <w:u w:val="none" w:color="auto"/>
        </w:rPr>
        <w:t>实施“寒冬送温暖”专项救助行动，保障各类困难群众温暖过节、安全过冬。全面落实各项社会救助政策，加强对残疾人、分散供养特困人员、特殊困难老年人、农村留守儿童等群体的探访关爱。扎实开展治理欠薪冬季行动，落实全链条防控体系，健全根治欠薪工作机制。</w:t>
      </w:r>
      <w:r>
        <w:rPr>
          <w:rFonts w:hint="eastAsia" w:ascii="Times New Roman" w:hAnsi="Times New Roman" w:eastAsia="楷体_GB2312" w:cs="Times New Roman"/>
          <w:color w:val="auto"/>
          <w:highlight w:val="none"/>
          <w:u w:val="none" w:color="auto"/>
          <w:lang w:eastAsia="zh-CN"/>
        </w:rPr>
        <w:t>（</w:t>
      </w:r>
      <w:r>
        <w:rPr>
          <w:rFonts w:hint="default" w:ascii="Times New Roman" w:hAnsi="Times New Roman" w:eastAsia="楷体_GB2312" w:cs="Times New Roman"/>
          <w:color w:val="auto"/>
          <w:highlight w:val="none"/>
          <w:u w:val="none" w:color="auto"/>
        </w:rPr>
        <w:t>责任单位:</w:t>
      </w:r>
      <w:r>
        <w:rPr>
          <w:rFonts w:hint="default" w:ascii="Times New Roman" w:hAnsi="Times New Roman" w:eastAsia="楷体_GB2312" w:cs="Times New Roman"/>
          <w:color w:val="auto"/>
          <w:highlight w:val="none"/>
          <w:u w:val="none" w:color="auto"/>
          <w:lang w:val="en-US" w:eastAsia="zh-CN"/>
        </w:rPr>
        <w:t>区</w:t>
      </w:r>
      <w:r>
        <w:rPr>
          <w:rFonts w:hint="default" w:ascii="Times New Roman" w:hAnsi="Times New Roman" w:eastAsia="楷体_GB2312" w:cs="Times New Roman"/>
          <w:color w:val="auto"/>
          <w:highlight w:val="none"/>
          <w:u w:val="none" w:color="auto"/>
          <w:lang w:eastAsia="zh-CN"/>
        </w:rPr>
        <w:t>民政局</w:t>
      </w:r>
      <w:r>
        <w:rPr>
          <w:rFonts w:hint="default" w:ascii="Times New Roman" w:hAnsi="Times New Roman" w:eastAsia="楷体_GB2312" w:cs="Times New Roman"/>
          <w:color w:val="auto"/>
          <w:highlight w:val="none"/>
          <w:u w:val="none" w:color="auto"/>
        </w:rPr>
        <w:t>、人社</w:t>
      </w:r>
      <w:r>
        <w:rPr>
          <w:rFonts w:hint="default" w:ascii="Times New Roman" w:hAnsi="Times New Roman" w:eastAsia="楷体_GB2312" w:cs="Times New Roman"/>
          <w:color w:val="auto"/>
          <w:highlight w:val="none"/>
          <w:u w:val="none" w:color="auto"/>
          <w:lang w:eastAsia="zh-CN"/>
        </w:rPr>
        <w:t>局</w:t>
      </w:r>
      <w:r>
        <w:rPr>
          <w:rFonts w:hint="default" w:ascii="Times New Roman" w:hAnsi="Times New Roman" w:eastAsia="楷体_GB2312" w:cs="Times New Roman"/>
          <w:color w:val="auto"/>
          <w:highlight w:val="none"/>
          <w:u w:val="none" w:color="auto"/>
        </w:rPr>
        <w:t>、财政</w:t>
      </w:r>
      <w:r>
        <w:rPr>
          <w:rFonts w:hint="default" w:ascii="Times New Roman" w:hAnsi="Times New Roman" w:eastAsia="楷体_GB2312" w:cs="Times New Roman"/>
          <w:color w:val="auto"/>
          <w:highlight w:val="none"/>
          <w:u w:val="none" w:color="auto"/>
          <w:lang w:eastAsia="zh-CN"/>
        </w:rPr>
        <w:t>局，</w:t>
      </w:r>
      <w:r>
        <w:rPr>
          <w:rFonts w:hint="default" w:ascii="Times New Roman" w:hAnsi="Times New Roman" w:eastAsia="楷体_GB2312" w:cs="Times New Roman"/>
          <w:color w:val="auto"/>
          <w:highlight w:val="none"/>
          <w:u w:val="none" w:color="auto"/>
          <w:lang w:val="en-US" w:eastAsia="zh-CN"/>
        </w:rPr>
        <w:t>区</w:t>
      </w:r>
      <w:r>
        <w:rPr>
          <w:rFonts w:hint="default" w:ascii="Times New Roman" w:hAnsi="Times New Roman" w:eastAsia="楷体_GB2312" w:cs="Times New Roman"/>
          <w:color w:val="auto"/>
          <w:highlight w:val="none"/>
          <w:u w:val="none" w:color="auto"/>
          <w:lang w:eastAsia="zh-CN"/>
        </w:rPr>
        <w:t>残联</w:t>
      </w:r>
      <w:r>
        <w:rPr>
          <w:rFonts w:hint="eastAsia" w:ascii="Times New Roman" w:hAnsi="Times New Roman" w:eastAsia="楷体_GB2312" w:cs="Times New Roman"/>
          <w:color w:val="auto"/>
          <w:highlight w:val="none"/>
          <w:u w:val="none" w:color="auto"/>
          <w:lang w:eastAsia="zh-CN"/>
        </w:rPr>
        <w:t>）</w:t>
      </w:r>
    </w:p>
    <w:p>
      <w:pPr>
        <w:pStyle w:val="2"/>
        <w:ind w:firstLine="643" w:firstLineChars="200"/>
        <w:rPr>
          <w:rFonts w:hint="eastAsia" w:ascii="Times New Roman" w:hAnsi="Times New Roman" w:eastAsia="楷体_GB2312" w:cs="Times New Roman"/>
          <w:b w:val="0"/>
          <w:bCs w:val="0"/>
          <w:color w:val="auto"/>
          <w:sz w:val="32"/>
          <w:szCs w:val="24"/>
          <w:highlight w:val="none"/>
          <w:u w:val="none"/>
          <w:lang w:eastAsia="zh-CN"/>
        </w:rPr>
      </w:pPr>
      <w:r>
        <w:rPr>
          <w:rFonts w:hint="eastAsia" w:ascii="Times New Roman" w:eastAsia="仿宋_GB2312" w:cs="Times New Roman"/>
          <w:b/>
          <w:bCs/>
          <w:color w:val="auto"/>
          <w:sz w:val="32"/>
          <w:szCs w:val="24"/>
          <w:highlight w:val="none"/>
          <w:u w:val="none"/>
          <w:lang w:val="en-US" w:eastAsia="zh-CN"/>
        </w:rPr>
        <w:t>19</w:t>
      </w:r>
      <w:r>
        <w:rPr>
          <w:rFonts w:hint="default" w:ascii="Times New Roman" w:hAnsi="Times New Roman" w:eastAsia="仿宋_GB2312" w:cs="Times New Roman"/>
          <w:b/>
          <w:bCs/>
          <w:color w:val="auto"/>
          <w:sz w:val="32"/>
          <w:szCs w:val="24"/>
          <w:highlight w:val="none"/>
          <w:u w:val="none"/>
        </w:rPr>
        <w:t>.强化岁末年初安全防范。</w:t>
      </w:r>
      <w:r>
        <w:rPr>
          <w:rFonts w:hint="default" w:ascii="Times New Roman" w:hAnsi="Times New Roman" w:eastAsia="仿宋_GB2312" w:cs="Times New Roman"/>
          <w:b w:val="0"/>
          <w:bCs w:val="0"/>
          <w:color w:val="auto"/>
          <w:sz w:val="32"/>
          <w:szCs w:val="24"/>
          <w:highlight w:val="none"/>
          <w:u w:val="none"/>
        </w:rPr>
        <w:t>压紧压实安全生产各方责任，落实落细风险防范各项措施，抓实抓牢岁末年初安全生产各项重点工作。统筹推进安全生产治本攻坚三年行动，聚焦危险化学品、工贸、道路交通、建筑施工、消防、燃气、文旅、水上安全等重点领域安全监管，切实筑牢全区安全风险防线。</w:t>
      </w:r>
      <w:r>
        <w:rPr>
          <w:rFonts w:hint="eastAsia" w:ascii="Times New Roman" w:eastAsia="楷体_GB2312" w:cs="Times New Roman"/>
          <w:b w:val="0"/>
          <w:bCs w:val="0"/>
          <w:color w:val="auto"/>
          <w:sz w:val="32"/>
          <w:szCs w:val="24"/>
          <w:highlight w:val="none"/>
          <w:u w:val="none"/>
          <w:lang w:eastAsia="zh-CN"/>
        </w:rPr>
        <w:t>（</w:t>
      </w:r>
      <w:r>
        <w:rPr>
          <w:rFonts w:hint="default" w:ascii="Times New Roman" w:hAnsi="Times New Roman" w:eastAsia="楷体_GB2312" w:cs="Times New Roman"/>
          <w:b w:val="0"/>
          <w:bCs w:val="0"/>
          <w:color w:val="auto"/>
          <w:sz w:val="32"/>
          <w:szCs w:val="24"/>
          <w:highlight w:val="none"/>
          <w:u w:val="none"/>
        </w:rPr>
        <w:t>责任单位:</w:t>
      </w:r>
      <w:r>
        <w:rPr>
          <w:rFonts w:hint="default" w:ascii="Times New Roman" w:hAnsi="Times New Roman" w:eastAsia="楷体_GB2312" w:cs="Times New Roman"/>
          <w:b w:val="0"/>
          <w:bCs w:val="0"/>
          <w:color w:val="auto"/>
          <w:sz w:val="32"/>
          <w:szCs w:val="24"/>
          <w:highlight w:val="none"/>
          <w:u w:val="none"/>
          <w:lang w:val="en-US" w:eastAsia="zh-CN"/>
        </w:rPr>
        <w:t>区</w:t>
      </w:r>
      <w:r>
        <w:rPr>
          <w:rFonts w:hint="default" w:ascii="Times New Roman" w:hAnsi="Times New Roman" w:eastAsia="楷体_GB2312" w:cs="Times New Roman"/>
          <w:b w:val="0"/>
          <w:bCs w:val="0"/>
          <w:color w:val="auto"/>
          <w:sz w:val="32"/>
          <w:szCs w:val="24"/>
          <w:highlight w:val="none"/>
          <w:u w:val="none"/>
          <w:lang w:eastAsia="zh-CN"/>
        </w:rPr>
        <w:t>应急局</w:t>
      </w:r>
      <w:r>
        <w:rPr>
          <w:rFonts w:hint="default" w:ascii="Times New Roman" w:hAnsi="Times New Roman" w:eastAsia="楷体_GB2312" w:cs="Times New Roman"/>
          <w:b w:val="0"/>
          <w:bCs w:val="0"/>
          <w:color w:val="auto"/>
          <w:sz w:val="32"/>
          <w:szCs w:val="24"/>
          <w:highlight w:val="none"/>
          <w:u w:val="none"/>
        </w:rPr>
        <w:t>，</w:t>
      </w:r>
      <w:r>
        <w:rPr>
          <w:rFonts w:hint="default" w:ascii="Times New Roman" w:hAnsi="Times New Roman" w:eastAsia="楷体_GB2312" w:cs="Times New Roman"/>
          <w:b w:val="0"/>
          <w:bCs w:val="0"/>
          <w:color w:val="auto"/>
          <w:sz w:val="32"/>
          <w:szCs w:val="24"/>
          <w:highlight w:val="none"/>
          <w:u w:val="none"/>
          <w:lang w:val="en-US" w:eastAsia="zh-CN"/>
        </w:rPr>
        <w:t>区</w:t>
      </w:r>
      <w:r>
        <w:rPr>
          <w:rFonts w:hint="default" w:ascii="Times New Roman" w:hAnsi="Times New Roman" w:eastAsia="楷体_GB2312" w:cs="Times New Roman"/>
          <w:b w:val="0"/>
          <w:bCs w:val="0"/>
          <w:color w:val="auto"/>
          <w:sz w:val="32"/>
          <w:szCs w:val="24"/>
          <w:highlight w:val="none"/>
          <w:u w:val="none"/>
        </w:rPr>
        <w:t>安委会</w:t>
      </w:r>
      <w:r>
        <w:rPr>
          <w:rFonts w:hint="default" w:ascii="Times New Roman" w:hAnsi="Times New Roman" w:eastAsia="楷体_GB2312" w:cs="Times New Roman"/>
          <w:b w:val="0"/>
          <w:bCs w:val="0"/>
          <w:color w:val="auto"/>
          <w:sz w:val="32"/>
          <w:szCs w:val="24"/>
          <w:highlight w:val="none"/>
          <w:u w:val="none"/>
          <w:lang w:eastAsia="zh-CN"/>
        </w:rPr>
        <w:t>各</w:t>
      </w:r>
      <w:r>
        <w:rPr>
          <w:rFonts w:hint="default" w:ascii="Times New Roman" w:hAnsi="Times New Roman" w:eastAsia="楷体_GB2312" w:cs="Times New Roman"/>
          <w:b w:val="0"/>
          <w:bCs w:val="0"/>
          <w:color w:val="auto"/>
          <w:sz w:val="32"/>
          <w:szCs w:val="24"/>
          <w:highlight w:val="none"/>
          <w:u w:val="none"/>
        </w:rPr>
        <w:t>成员单位</w:t>
      </w:r>
      <w:r>
        <w:rPr>
          <w:rFonts w:hint="eastAsia" w:ascii="Times New Roman" w:eastAsia="楷体_GB2312" w:cs="Times New Roman"/>
          <w:b w:val="0"/>
          <w:bCs w:val="0"/>
          <w:color w:val="auto"/>
          <w:sz w:val="32"/>
          <w:szCs w:val="24"/>
          <w:highlight w:val="none"/>
          <w:u w:val="none"/>
          <w:lang w:eastAsia="zh-CN"/>
        </w:rPr>
        <w:t>）</w:t>
      </w:r>
    </w:p>
    <w:p>
      <w:pPr>
        <w:keepNext w:val="0"/>
        <w:keepLines w:val="0"/>
        <w:pageBreakBefore w:val="0"/>
        <w:widowControl w:val="0"/>
        <w:pBdr>
          <w:top w:val="none" w:color="auto" w:sz="0" w:space="1"/>
          <w:left w:val="none" w:color="auto" w:sz="0" w:space="4"/>
          <w:bottom w:val="none" w:color="auto" w:sz="0" w:space="1"/>
          <w:right w:val="none" w:color="auto" w:sz="0" w:space="4"/>
          <w:between w:val="none" w:color="auto" w:sz="0" w:space="0"/>
        </w:pBdr>
        <w:suppressAutoHyphens/>
        <w:kinsoku/>
        <w:wordWrap/>
        <w:overflowPunct w:val="0"/>
        <w:topLinePunct w:val="0"/>
        <w:autoSpaceDE/>
        <w:autoSpaceDN/>
        <w:bidi w:val="0"/>
        <w:adjustRightInd/>
        <w:snapToGrid/>
        <w:spacing w:beforeAutospacing="0" w:afterAutospacing="0" w:line="600" w:lineRule="exact"/>
        <w:ind w:firstLine="640" w:firstLineChars="200"/>
        <w:jc w:val="both"/>
        <w:textAlignment w:val="auto"/>
        <w:rPr>
          <w:rFonts w:hint="default" w:ascii="Times New Roman" w:hAnsi="Times New Roman" w:eastAsia="仿宋_GB2312" w:cs="Times New Roman"/>
          <w:color w:val="auto"/>
          <w:spacing w:val="0"/>
          <w:kern w:val="0"/>
          <w:sz w:val="32"/>
          <w:szCs w:val="32"/>
          <w:highlight w:val="none"/>
          <w:u w:val="none" w:color="auto"/>
          <w:lang w:eastAsia="zh-CN"/>
        </w:rPr>
      </w:pPr>
      <w:r>
        <w:rPr>
          <w:rFonts w:hint="default" w:ascii="Times New Roman" w:hAnsi="Times New Roman" w:eastAsia="仿宋_GB2312" w:cs="Times New Roman"/>
          <w:color w:val="auto"/>
          <w:spacing w:val="0"/>
          <w:kern w:val="0"/>
          <w:sz w:val="32"/>
          <w:szCs w:val="32"/>
          <w:highlight w:val="none"/>
          <w:u w:val="none" w:color="auto"/>
          <w:lang w:eastAsia="zh-CN"/>
        </w:rPr>
        <w:t>本措施由各责任单位按职责负责解释。各责任单位要大力推行政策“免申即享”“即申即享”，简化政策兑现流程，确保本措施精准便捷直达企业，尽快尽早充分释放政策红利。</w:t>
      </w:r>
    </w:p>
    <w:p>
      <w:pPr>
        <w:pStyle w:val="2"/>
        <w:ind w:firstLine="640" w:firstLineChars="200"/>
        <w:rPr>
          <w:rFonts w:hint="default" w:ascii="Times New Roman" w:hAnsi="Times New Roman" w:cs="Times New Roman"/>
          <w:color w:val="auto"/>
          <w:highlight w:val="none"/>
        </w:rPr>
      </w:pPr>
      <w:r>
        <w:rPr>
          <w:rFonts w:hint="default" w:ascii="Times New Roman" w:hAnsi="Times New Roman" w:eastAsia="仿宋_GB2312" w:cs="Times New Roman"/>
          <w:color w:val="auto"/>
          <w:spacing w:val="0"/>
          <w:kern w:val="0"/>
          <w:sz w:val="32"/>
          <w:szCs w:val="32"/>
          <w:highlight w:val="none"/>
          <w:u w:val="none" w:color="auto"/>
          <w:lang w:eastAsia="zh-CN"/>
        </w:rPr>
        <w:t>本措施自发布之日起施行，有效期至2025年3月31日，具体措施有明确执行期限的，从其规定。国家、省</w:t>
      </w:r>
      <w:r>
        <w:rPr>
          <w:rFonts w:hint="eastAsia" w:ascii="Times New Roman" w:eastAsia="仿宋_GB2312" w:cs="Times New Roman"/>
          <w:color w:val="auto"/>
          <w:spacing w:val="0"/>
          <w:kern w:val="0"/>
          <w:sz w:val="32"/>
          <w:szCs w:val="32"/>
          <w:highlight w:val="none"/>
          <w:u w:val="none" w:color="auto"/>
          <w:lang w:eastAsia="zh-CN"/>
        </w:rPr>
        <w:t>、市</w:t>
      </w:r>
      <w:r>
        <w:rPr>
          <w:rFonts w:hint="default" w:ascii="Times New Roman" w:hAnsi="Times New Roman" w:eastAsia="仿宋_GB2312" w:cs="Times New Roman"/>
          <w:color w:val="auto"/>
          <w:spacing w:val="0"/>
          <w:kern w:val="0"/>
          <w:sz w:val="32"/>
          <w:szCs w:val="32"/>
          <w:highlight w:val="none"/>
          <w:u w:val="none" w:color="auto"/>
          <w:lang w:eastAsia="zh-CN"/>
        </w:rPr>
        <w:t>在扶持资金上另有规定的，按照“就高不重复”原则执行。</w:t>
      </w:r>
    </w:p>
    <w:sectPr>
      <w:headerReference r:id="rId5" w:type="first"/>
      <w:footerReference r:id="rId8" w:type="first"/>
      <w:headerReference r:id="rId3" w:type="default"/>
      <w:footerReference r:id="rId6" w:type="default"/>
      <w:headerReference r:id="rId4" w:type="even"/>
      <w:footerReference r:id="rId7" w:type="even"/>
      <w:pgSz w:w="11906" w:h="16838"/>
      <w:pgMar w:top="1440" w:right="1531" w:bottom="1440" w:left="1531" w:header="720" w:footer="720"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仿宋简体">
    <w:altName w:val="微软雅黑"/>
    <w:panose1 w:val="02010601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firstLine="36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5"/>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">
              <v:fill on="f" focussize="0,0"/>
              <v:stroke on="f"/>
              <v:imagedata o:title=""/>
              <o:lock v:ext="edit" aspectratio="f"/>
              <v:textbox inset="0mm,0mm,0mm,0mm" style="mso-fit-shape-to-text:t;">
                <w:txbxContent>
                  <w:p>
                    <w:pPr>
                      <w:pStyle w:val="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1"/>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4A09"/>
    <w:rsid w:val="001A40D7"/>
    <w:rsid w:val="001A679A"/>
    <w:rsid w:val="00313853"/>
    <w:rsid w:val="003568EA"/>
    <w:rsid w:val="0036333C"/>
    <w:rsid w:val="00455151"/>
    <w:rsid w:val="004A218C"/>
    <w:rsid w:val="004B50F9"/>
    <w:rsid w:val="004C730E"/>
    <w:rsid w:val="00524BEF"/>
    <w:rsid w:val="00524FAD"/>
    <w:rsid w:val="00635947"/>
    <w:rsid w:val="00665AA4"/>
    <w:rsid w:val="0067332E"/>
    <w:rsid w:val="00674023"/>
    <w:rsid w:val="006B1620"/>
    <w:rsid w:val="006C4C1C"/>
    <w:rsid w:val="00732427"/>
    <w:rsid w:val="00A349B6"/>
    <w:rsid w:val="00BA6AC8"/>
    <w:rsid w:val="00BC64FB"/>
    <w:rsid w:val="00C94EDE"/>
    <w:rsid w:val="00CD4A09"/>
    <w:rsid w:val="00D60602"/>
    <w:rsid w:val="00D97045"/>
    <w:rsid w:val="00E41A6E"/>
    <w:rsid w:val="00EF0A55"/>
    <w:rsid w:val="00F61E55"/>
    <w:rsid w:val="020A72CD"/>
    <w:rsid w:val="02EC4D9D"/>
    <w:rsid w:val="070E7398"/>
    <w:rsid w:val="0CFFEA33"/>
    <w:rsid w:val="0E5C81B4"/>
    <w:rsid w:val="0E7508F9"/>
    <w:rsid w:val="0EEC6F0A"/>
    <w:rsid w:val="0FA9122B"/>
    <w:rsid w:val="101822F4"/>
    <w:rsid w:val="156A1A7E"/>
    <w:rsid w:val="16676310"/>
    <w:rsid w:val="180605F5"/>
    <w:rsid w:val="19E742B7"/>
    <w:rsid w:val="1B7F03B4"/>
    <w:rsid w:val="1D7C7990"/>
    <w:rsid w:val="1DE918BD"/>
    <w:rsid w:val="1E95E82C"/>
    <w:rsid w:val="1EFF6936"/>
    <w:rsid w:val="1F37577C"/>
    <w:rsid w:val="1F3D5C83"/>
    <w:rsid w:val="1F7B486A"/>
    <w:rsid w:val="1F9DDE6A"/>
    <w:rsid w:val="1FBC06FA"/>
    <w:rsid w:val="22514432"/>
    <w:rsid w:val="22D130A6"/>
    <w:rsid w:val="22FDDE2A"/>
    <w:rsid w:val="272EBD76"/>
    <w:rsid w:val="29AF49F4"/>
    <w:rsid w:val="2A3178D3"/>
    <w:rsid w:val="2C1C793A"/>
    <w:rsid w:val="2C3C4FD7"/>
    <w:rsid w:val="2DA64AE5"/>
    <w:rsid w:val="2DFD08F2"/>
    <w:rsid w:val="2E57215C"/>
    <w:rsid w:val="2FCB21C5"/>
    <w:rsid w:val="2FFE9DE3"/>
    <w:rsid w:val="33712D84"/>
    <w:rsid w:val="34F34271"/>
    <w:rsid w:val="35F74F5C"/>
    <w:rsid w:val="35FD193E"/>
    <w:rsid w:val="39A77D52"/>
    <w:rsid w:val="3AEF5D72"/>
    <w:rsid w:val="3B67AB6E"/>
    <w:rsid w:val="3B9744DF"/>
    <w:rsid w:val="3BFF75FC"/>
    <w:rsid w:val="3DFA5490"/>
    <w:rsid w:val="3DFC6FF4"/>
    <w:rsid w:val="3E0F4D97"/>
    <w:rsid w:val="3E7E89FE"/>
    <w:rsid w:val="3EE7E484"/>
    <w:rsid w:val="3EF73C93"/>
    <w:rsid w:val="3F9E235B"/>
    <w:rsid w:val="3FF753B5"/>
    <w:rsid w:val="3FFA6947"/>
    <w:rsid w:val="3FFB75CD"/>
    <w:rsid w:val="3FFF9A74"/>
    <w:rsid w:val="400E118A"/>
    <w:rsid w:val="436B27AE"/>
    <w:rsid w:val="43FCE39D"/>
    <w:rsid w:val="461865CE"/>
    <w:rsid w:val="46D00C57"/>
    <w:rsid w:val="474E40AE"/>
    <w:rsid w:val="4B792EF8"/>
    <w:rsid w:val="4BDE0113"/>
    <w:rsid w:val="4C67673F"/>
    <w:rsid w:val="4CFBA6B6"/>
    <w:rsid w:val="4D5E7211"/>
    <w:rsid w:val="4F9F8120"/>
    <w:rsid w:val="4FF5F44E"/>
    <w:rsid w:val="50E720C7"/>
    <w:rsid w:val="5142685E"/>
    <w:rsid w:val="522B6CFD"/>
    <w:rsid w:val="55014123"/>
    <w:rsid w:val="551456C5"/>
    <w:rsid w:val="55615676"/>
    <w:rsid w:val="55DFE1F9"/>
    <w:rsid w:val="56200066"/>
    <w:rsid w:val="56CA97D2"/>
    <w:rsid w:val="57FE106F"/>
    <w:rsid w:val="585E654E"/>
    <w:rsid w:val="599F2957"/>
    <w:rsid w:val="59BF475D"/>
    <w:rsid w:val="59F5C548"/>
    <w:rsid w:val="5B12DB07"/>
    <w:rsid w:val="5CDD0274"/>
    <w:rsid w:val="5CFF9B25"/>
    <w:rsid w:val="5D7FC798"/>
    <w:rsid w:val="5DE2DE12"/>
    <w:rsid w:val="5EBE90F2"/>
    <w:rsid w:val="5EDF5F4B"/>
    <w:rsid w:val="5EEB1B3A"/>
    <w:rsid w:val="5EF5B61C"/>
    <w:rsid w:val="5FC7D40C"/>
    <w:rsid w:val="5FFB9AD5"/>
    <w:rsid w:val="61893795"/>
    <w:rsid w:val="61BE356A"/>
    <w:rsid w:val="65FAFDE6"/>
    <w:rsid w:val="67137568"/>
    <w:rsid w:val="67983C72"/>
    <w:rsid w:val="6ADD7165"/>
    <w:rsid w:val="6B7B8B88"/>
    <w:rsid w:val="6C976169"/>
    <w:rsid w:val="6DBF33B2"/>
    <w:rsid w:val="6DBF8B05"/>
    <w:rsid w:val="6DF95302"/>
    <w:rsid w:val="6E587D55"/>
    <w:rsid w:val="6EDF4D55"/>
    <w:rsid w:val="6EF7D174"/>
    <w:rsid w:val="6EFFBA99"/>
    <w:rsid w:val="6FD7762E"/>
    <w:rsid w:val="6FE5A4F2"/>
    <w:rsid w:val="6FFF15B0"/>
    <w:rsid w:val="706E70C9"/>
    <w:rsid w:val="70A71435"/>
    <w:rsid w:val="72FEE22A"/>
    <w:rsid w:val="73EF04F7"/>
    <w:rsid w:val="75BF12E8"/>
    <w:rsid w:val="75E420D8"/>
    <w:rsid w:val="75F4221F"/>
    <w:rsid w:val="75FF4548"/>
    <w:rsid w:val="761D15E6"/>
    <w:rsid w:val="76DFD87A"/>
    <w:rsid w:val="770D7C32"/>
    <w:rsid w:val="779A3CFA"/>
    <w:rsid w:val="77FEA862"/>
    <w:rsid w:val="79367B8E"/>
    <w:rsid w:val="79EF7AF3"/>
    <w:rsid w:val="79FE5409"/>
    <w:rsid w:val="7ADF9944"/>
    <w:rsid w:val="7AF021FE"/>
    <w:rsid w:val="7AF6CFB6"/>
    <w:rsid w:val="7B661FF6"/>
    <w:rsid w:val="7B7D2B76"/>
    <w:rsid w:val="7BFFC548"/>
    <w:rsid w:val="7CCF61FD"/>
    <w:rsid w:val="7CEFC2BA"/>
    <w:rsid w:val="7D240BEB"/>
    <w:rsid w:val="7D3347D4"/>
    <w:rsid w:val="7D3F3177"/>
    <w:rsid w:val="7D63F361"/>
    <w:rsid w:val="7DB68AEA"/>
    <w:rsid w:val="7DB700FD"/>
    <w:rsid w:val="7DD2E3A7"/>
    <w:rsid w:val="7DEB3609"/>
    <w:rsid w:val="7DEBC5CB"/>
    <w:rsid w:val="7DEFC87D"/>
    <w:rsid w:val="7DF690DE"/>
    <w:rsid w:val="7DFD8EDA"/>
    <w:rsid w:val="7DFF2BDE"/>
    <w:rsid w:val="7DFF2BF7"/>
    <w:rsid w:val="7DFF7FC4"/>
    <w:rsid w:val="7DFF8328"/>
    <w:rsid w:val="7EBF8883"/>
    <w:rsid w:val="7EC2BEEA"/>
    <w:rsid w:val="7ED7DBCC"/>
    <w:rsid w:val="7EF53CD8"/>
    <w:rsid w:val="7EFF588D"/>
    <w:rsid w:val="7F2F2EE5"/>
    <w:rsid w:val="7F57505D"/>
    <w:rsid w:val="7F6B1FD5"/>
    <w:rsid w:val="7F7F1FA7"/>
    <w:rsid w:val="7FB7E78E"/>
    <w:rsid w:val="7FBB43C2"/>
    <w:rsid w:val="7FBFCD4F"/>
    <w:rsid w:val="7FCE2CF9"/>
    <w:rsid w:val="7FD94C0A"/>
    <w:rsid w:val="7FF365E7"/>
    <w:rsid w:val="7FF70A78"/>
    <w:rsid w:val="7FFB2875"/>
    <w:rsid w:val="7FFBF1E4"/>
    <w:rsid w:val="7FFEA4E5"/>
    <w:rsid w:val="7FFF8B74"/>
    <w:rsid w:val="7FFFA13D"/>
    <w:rsid w:val="85F29AEA"/>
    <w:rsid w:val="87ACB82E"/>
    <w:rsid w:val="87FF3B84"/>
    <w:rsid w:val="9BFD327E"/>
    <w:rsid w:val="9FFB9BD6"/>
    <w:rsid w:val="AAD5D928"/>
    <w:rsid w:val="ABDF1DCB"/>
    <w:rsid w:val="ADBD685B"/>
    <w:rsid w:val="ADEFFBC6"/>
    <w:rsid w:val="ADFD3A8A"/>
    <w:rsid w:val="AFF710D7"/>
    <w:rsid w:val="B45DE12E"/>
    <w:rsid w:val="B6B56AB3"/>
    <w:rsid w:val="B75B65FE"/>
    <w:rsid w:val="B79FF81A"/>
    <w:rsid w:val="B7FA9249"/>
    <w:rsid w:val="BBBB2449"/>
    <w:rsid w:val="BEEDCE86"/>
    <w:rsid w:val="BF62D54D"/>
    <w:rsid w:val="BF7D9342"/>
    <w:rsid w:val="BF9BBAFD"/>
    <w:rsid w:val="BFBF13D4"/>
    <w:rsid w:val="BFBFDCDE"/>
    <w:rsid w:val="BFF36169"/>
    <w:rsid w:val="BFFD4D39"/>
    <w:rsid w:val="BFFFAF37"/>
    <w:rsid w:val="C4F5E260"/>
    <w:rsid w:val="C9FF6052"/>
    <w:rsid w:val="CA5B5D98"/>
    <w:rsid w:val="CBF76C98"/>
    <w:rsid w:val="CCFF5AA0"/>
    <w:rsid w:val="CF7F32E9"/>
    <w:rsid w:val="CFBF45C7"/>
    <w:rsid w:val="CFDFE1EB"/>
    <w:rsid w:val="D3BB8718"/>
    <w:rsid w:val="D5D70E74"/>
    <w:rsid w:val="D6B739F8"/>
    <w:rsid w:val="D926E53C"/>
    <w:rsid w:val="DABE880C"/>
    <w:rsid w:val="DBDDA5C5"/>
    <w:rsid w:val="DD77C47C"/>
    <w:rsid w:val="DDDFF8EC"/>
    <w:rsid w:val="DF767C7F"/>
    <w:rsid w:val="DF7E9792"/>
    <w:rsid w:val="DF7F7FB3"/>
    <w:rsid w:val="DFD1A658"/>
    <w:rsid w:val="DFDFC084"/>
    <w:rsid w:val="DFF7762B"/>
    <w:rsid w:val="E32EB6A2"/>
    <w:rsid w:val="E59552B2"/>
    <w:rsid w:val="E79E8AF6"/>
    <w:rsid w:val="E9F5E3A0"/>
    <w:rsid w:val="EA8BB278"/>
    <w:rsid w:val="EAD7126F"/>
    <w:rsid w:val="EAFBE292"/>
    <w:rsid w:val="EAFFE45C"/>
    <w:rsid w:val="EBBFAF2F"/>
    <w:rsid w:val="EBD7734B"/>
    <w:rsid w:val="ED6BFD10"/>
    <w:rsid w:val="EDDFFF09"/>
    <w:rsid w:val="EDFFB8BE"/>
    <w:rsid w:val="EEFE310B"/>
    <w:rsid w:val="EF0A9D1C"/>
    <w:rsid w:val="EFD68542"/>
    <w:rsid w:val="EFEA6A70"/>
    <w:rsid w:val="EFFD8D0B"/>
    <w:rsid w:val="F37B5C74"/>
    <w:rsid w:val="F3CF7BCF"/>
    <w:rsid w:val="F3DBE2C4"/>
    <w:rsid w:val="F3EE5831"/>
    <w:rsid w:val="F3FE7C44"/>
    <w:rsid w:val="F3FF2456"/>
    <w:rsid w:val="F5BFE771"/>
    <w:rsid w:val="F5DF97D7"/>
    <w:rsid w:val="F5EBD937"/>
    <w:rsid w:val="F68F941F"/>
    <w:rsid w:val="F73C71BC"/>
    <w:rsid w:val="F77F27DE"/>
    <w:rsid w:val="F7BDAAA7"/>
    <w:rsid w:val="F7C36E67"/>
    <w:rsid w:val="F7DF9689"/>
    <w:rsid w:val="F7FAB09E"/>
    <w:rsid w:val="F9E7FB9F"/>
    <w:rsid w:val="F9F96B95"/>
    <w:rsid w:val="FA2B1500"/>
    <w:rsid w:val="FAD7C6C1"/>
    <w:rsid w:val="FAF3981B"/>
    <w:rsid w:val="FAFD898E"/>
    <w:rsid w:val="FAFF3710"/>
    <w:rsid w:val="FB3F5C7B"/>
    <w:rsid w:val="FB6EFF27"/>
    <w:rsid w:val="FB7C5B0A"/>
    <w:rsid w:val="FB9D73ED"/>
    <w:rsid w:val="FBEFA2CC"/>
    <w:rsid w:val="FBF7C5E8"/>
    <w:rsid w:val="FCDF3D62"/>
    <w:rsid w:val="FCFB76F1"/>
    <w:rsid w:val="FD177CAF"/>
    <w:rsid w:val="FD9E6E79"/>
    <w:rsid w:val="FDE65747"/>
    <w:rsid w:val="FDEF8765"/>
    <w:rsid w:val="FDF7F995"/>
    <w:rsid w:val="FDFCD887"/>
    <w:rsid w:val="FDFF07BF"/>
    <w:rsid w:val="FE379A52"/>
    <w:rsid w:val="FE3F99B7"/>
    <w:rsid w:val="FE3FD044"/>
    <w:rsid w:val="FE3FD541"/>
    <w:rsid w:val="FE5FA6D9"/>
    <w:rsid w:val="FE5FA924"/>
    <w:rsid w:val="FE6D24BE"/>
    <w:rsid w:val="FE7E9D52"/>
    <w:rsid w:val="FEA7FC2C"/>
    <w:rsid w:val="FEBF638B"/>
    <w:rsid w:val="FEDE177A"/>
    <w:rsid w:val="FEFCBDF1"/>
    <w:rsid w:val="FEFF3BBA"/>
    <w:rsid w:val="FEFFAED2"/>
    <w:rsid w:val="FF5CE572"/>
    <w:rsid w:val="FF7677E4"/>
    <w:rsid w:val="FF77B8AF"/>
    <w:rsid w:val="FF7A52FB"/>
    <w:rsid w:val="FF7B610C"/>
    <w:rsid w:val="FF94F8DD"/>
    <w:rsid w:val="FFB13068"/>
    <w:rsid w:val="FFBFF03E"/>
    <w:rsid w:val="FFDB1852"/>
    <w:rsid w:val="FFE754EF"/>
    <w:rsid w:val="FFEF64A4"/>
    <w:rsid w:val="FFF6E0DB"/>
    <w:rsid w:val="FFF71691"/>
    <w:rsid w:val="FFFB3B63"/>
    <w:rsid w:val="FFFB533C"/>
    <w:rsid w:val="FFFD6E37"/>
    <w:rsid w:val="FFFD83E2"/>
    <w:rsid w:val="FFFE06E2"/>
    <w:rsid w:val="FFFE9048"/>
    <w:rsid w:val="FFFF9A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iPriority="99"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600" w:lineRule="exact"/>
      <w:ind w:firstLine="420" w:firstLineChars="200"/>
      <w:jc w:val="both"/>
    </w:pPr>
    <w:rPr>
      <w:rFonts w:ascii="仿宋_GB2312" w:hAnsi="仿宋_GB2312" w:eastAsia="仿宋_GB2312" w:cs="Times New Roman"/>
      <w:kern w:val="2"/>
      <w:sz w:val="32"/>
      <w:szCs w:val="24"/>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Layout w:type="fixed"/>
      <w:tblCellMar>
        <w:top w:w="0" w:type="dxa"/>
        <w:left w:w="108" w:type="dxa"/>
        <w:bottom w:w="0" w:type="dxa"/>
        <w:right w:w="108" w:type="dxa"/>
      </w:tblCellMar>
    </w:tblPr>
  </w:style>
  <w:style w:type="paragraph" w:customStyle="1" w:styleId="2">
    <w:name w:val="1.正文"/>
    <w:next w:val="3"/>
    <w:qFormat/>
    <w:uiPriority w:val="99"/>
    <w:pPr>
      <w:widowControl w:val="0"/>
      <w:suppressAutoHyphens/>
      <w:jc w:val="both"/>
    </w:pPr>
    <w:rPr>
      <w:rFonts w:ascii="Calibri" w:hAnsi="Times New Roman" w:eastAsia="宋体" w:cs="Calibri"/>
      <w:kern w:val="2"/>
      <w:sz w:val="21"/>
      <w:szCs w:val="21"/>
      <w:lang w:val="en-US" w:eastAsia="zh-CN" w:bidi="ar-SA"/>
    </w:rPr>
  </w:style>
  <w:style w:type="paragraph" w:styleId="3">
    <w:name w:val="index 5"/>
    <w:basedOn w:val="1"/>
    <w:next w:val="1"/>
    <w:unhideWhenUsed/>
    <w:qFormat/>
    <w:uiPriority w:val="99"/>
    <w:pPr>
      <w:widowControl w:val="0"/>
      <w:suppressAutoHyphens/>
      <w:ind w:left="800" w:leftChars="800"/>
      <w:jc w:val="both"/>
    </w:pPr>
    <w:rPr>
      <w:rFonts w:ascii="Calibri" w:hAnsi="Calibri" w:eastAsia="宋体" w:cs="Times New Roman"/>
      <w:kern w:val="2"/>
      <w:sz w:val="21"/>
      <w:szCs w:val="24"/>
      <w:lang w:val="en-US" w:eastAsia="zh-CN" w:bidi="ar-SA"/>
    </w:rPr>
  </w:style>
  <w:style w:type="paragraph" w:styleId="4">
    <w:name w:val="Balloon Text"/>
    <w:basedOn w:val="1"/>
    <w:link w:val="13"/>
    <w:qFormat/>
    <w:uiPriority w:val="0"/>
    <w:pPr>
      <w:spacing w:line="240" w:lineRule="auto"/>
    </w:pPr>
    <w:rPr>
      <w:sz w:val="18"/>
      <w:szCs w:val="18"/>
    </w:rPr>
  </w:style>
  <w:style w:type="paragraph" w:styleId="5">
    <w:name w:val="footer"/>
    <w:basedOn w:val="1"/>
    <w:link w:val="12"/>
    <w:qFormat/>
    <w:uiPriority w:val="0"/>
    <w:pPr>
      <w:tabs>
        <w:tab w:val="center" w:pos="4153"/>
        <w:tab w:val="right" w:pos="8306"/>
      </w:tabs>
      <w:snapToGrid w:val="0"/>
      <w:spacing w:line="240" w:lineRule="atLeast"/>
      <w:jc w:val="left"/>
    </w:pPr>
    <w:rPr>
      <w:sz w:val="18"/>
      <w:szCs w:val="18"/>
    </w:rPr>
  </w:style>
  <w:style w:type="paragraph" w:styleId="6">
    <w:name w:val="header"/>
    <w:basedOn w:val="1"/>
    <w:link w:val="11"/>
    <w:qFormat/>
    <w:uiPriority w:val="0"/>
    <w:pPr>
      <w:pBdr>
        <w:bottom w:val="single" w:color="auto" w:sz="6" w:space="1"/>
      </w:pBdr>
      <w:tabs>
        <w:tab w:val="center" w:pos="4153"/>
        <w:tab w:val="right" w:pos="8306"/>
      </w:tabs>
      <w:snapToGrid w:val="0"/>
      <w:spacing w:line="240" w:lineRule="atLeast"/>
      <w:jc w:val="center"/>
    </w:pPr>
    <w:rPr>
      <w:sz w:val="18"/>
      <w:szCs w:val="18"/>
    </w:rPr>
  </w:style>
  <w:style w:type="paragraph" w:styleId="7">
    <w:name w:val="Normal (Web)"/>
    <w:basedOn w:val="1"/>
    <w:uiPriority w:val="0"/>
    <w:pPr>
      <w:spacing w:before="100" w:beforeLines="0" w:beforeAutospacing="1" w:after="100" w:afterLines="0" w:afterAutospacing="1"/>
      <w:ind w:left="0" w:right="0"/>
      <w:jc w:val="left"/>
    </w:pPr>
    <w:rPr>
      <w:kern w:val="0"/>
      <w:sz w:val="24"/>
      <w:lang w:val="en-US" w:eastAsia="zh-CN" w:bidi="ar"/>
    </w:rPr>
  </w:style>
  <w:style w:type="character" w:styleId="10">
    <w:name w:val="Strong"/>
    <w:basedOn w:val="9"/>
    <w:qFormat/>
    <w:uiPriority w:val="0"/>
    <w:rPr>
      <w:b/>
    </w:rPr>
  </w:style>
  <w:style w:type="character" w:customStyle="1" w:styleId="11">
    <w:name w:val="页眉 Char"/>
    <w:basedOn w:val="9"/>
    <w:link w:val="6"/>
    <w:qFormat/>
    <w:uiPriority w:val="0"/>
    <w:rPr>
      <w:rFonts w:ascii="仿宋_GB2312" w:hAnsi="仿宋_GB2312" w:eastAsia="仿宋_GB2312"/>
      <w:kern w:val="2"/>
      <w:sz w:val="18"/>
      <w:szCs w:val="18"/>
    </w:rPr>
  </w:style>
  <w:style w:type="character" w:customStyle="1" w:styleId="12">
    <w:name w:val="页脚 Char"/>
    <w:basedOn w:val="9"/>
    <w:link w:val="5"/>
    <w:qFormat/>
    <w:uiPriority w:val="0"/>
    <w:rPr>
      <w:rFonts w:ascii="仿宋_GB2312" w:hAnsi="仿宋_GB2312" w:eastAsia="仿宋_GB2312"/>
      <w:kern w:val="2"/>
      <w:sz w:val="18"/>
      <w:szCs w:val="18"/>
    </w:rPr>
  </w:style>
  <w:style w:type="character" w:customStyle="1" w:styleId="13">
    <w:name w:val="批注框文本 Char"/>
    <w:basedOn w:val="9"/>
    <w:link w:val="4"/>
    <w:qFormat/>
    <w:uiPriority w:val="0"/>
    <w:rPr>
      <w:rFonts w:ascii="仿宋_GB2312" w:hAnsi="仿宋_GB2312" w:eastAsia="仿宋_GB2312"/>
      <w:kern w:val="2"/>
      <w:sz w:val="18"/>
      <w:szCs w:val="18"/>
    </w:rPr>
  </w:style>
  <w:style w:type="paragraph" w:customStyle="1" w:styleId="14">
    <w:name w:val="样式2"/>
    <w:qFormat/>
    <w:uiPriority w:val="0"/>
    <w:pPr>
      <w:widowControl w:val="0"/>
      <w:spacing w:line="600" w:lineRule="exact"/>
      <w:ind w:right="-47" w:rightChars="-47" w:firstLine="200" w:firstLineChars="200"/>
    </w:pPr>
    <w:rPr>
      <w:rFonts w:ascii="Calibri" w:hAnsi="Calibri" w:eastAsia="宋体" w:cs="Times New Roman"/>
      <w:bCs/>
      <w:kern w:val="2"/>
      <w:sz w:val="21"/>
      <w:szCs w:val="28"/>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6</Pages>
  <Words>2730</Words>
  <Characters>2816</Characters>
  <Lines>62</Lines>
  <Paragraphs>17</Paragraphs>
  <TotalTime>0</TotalTime>
  <ScaleCrop>false</ScaleCrop>
  <LinksUpToDate>false</LinksUpToDate>
  <CharactersWithSpaces>2816</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2024-12-22T13:37:00Z</dcterms:created>
  <dc:creator>xmadmin</dc:creator>
  <cp:lastModifiedBy>Administrator</cp:lastModifiedBy>
  <cp:lastPrinted>2024-12-31T06:37:02Z</cp:lastPrinted>
  <dcterms:modified xsi:type="dcterms:W3CDTF">2024-12-31T08:58:29Z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y fmtid="{D5CDD505-2E9C-101B-9397-08002B2CF9AE}" pid="3" name="ICV">
    <vt:lpwstr>BF7AA38D51C84AF2BE021E30B22821D2_13</vt:lpwstr>
  </property>
  <property fmtid="{D5CDD505-2E9C-101B-9397-08002B2CF9AE}" pid="4" name="KSOTemplateDocerSaveRecord">
    <vt:lpwstr>eyJoZGlkIjoiZjhmYTNiMTJiZjM3YjdlNDRkMjEwMTNiOWYxNjhkNmMiLCJ1c2VySWQiOiI3Mzk1MjAxMzcifQ==</vt:lpwstr>
  </property>
</Properties>
</file>