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solid" w:color="FFFFFF" w:fill="auto"/>
        <w:autoSpaceDN w:val="0"/>
        <w:spacing w:line="600" w:lineRule="exact"/>
        <w:jc w:val="center"/>
        <w:rPr>
          <w:rFonts w:eastAsia="方正小标宋简体"/>
          <w:sz w:val="36"/>
          <w:shd w:val="clear" w:color="auto" w:fill="FFFFFF"/>
          <w:lang w:eastAsia="zh-CN"/>
        </w:rPr>
      </w:pPr>
      <w:r>
        <w:rPr>
          <w:rFonts w:eastAsia="方正小标宋简体"/>
          <w:sz w:val="36"/>
          <w:shd w:val="clear" w:color="auto" w:fill="FFFFFF"/>
          <w:lang w:eastAsia="zh-CN"/>
        </w:rPr>
        <w:t>第二部分</w:t>
      </w:r>
      <w:r>
        <w:rPr>
          <w:rFonts w:hint="eastAsia" w:eastAsia="方正小标宋简体"/>
          <w:sz w:val="36"/>
          <w:shd w:val="clear" w:color="auto" w:fill="FFFFFF"/>
          <w:lang w:val="en-US" w:eastAsia="zh-CN"/>
        </w:rPr>
        <w:t>2019</w:t>
      </w:r>
      <w:r>
        <w:rPr>
          <w:rFonts w:eastAsia="方正小标宋简体"/>
          <w:sz w:val="36"/>
          <w:shd w:val="clear" w:color="auto" w:fill="FFFFFF"/>
          <w:lang w:eastAsia="zh-CN"/>
        </w:rPr>
        <w:t>年度部门决算表</w:t>
      </w:r>
    </w:p>
    <w:p>
      <w:pPr>
        <w:pStyle w:val="4"/>
        <w:numPr>
          <w:ilvl w:val="0"/>
          <w:numId w:val="1"/>
        </w:numPr>
        <w:spacing w:line="600" w:lineRule="exact"/>
        <w:ind w:firstLineChars="0"/>
        <w:jc w:val="both"/>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 xml:space="preserve">收入支出决算总表 </w:t>
      </w:r>
    </w:p>
    <w:p>
      <w:pPr>
        <w:tabs>
          <w:tab w:val="left" w:pos="7513"/>
        </w:tabs>
        <w:spacing w:line="600" w:lineRule="exact"/>
        <w:jc w:val="both"/>
        <w:rPr>
          <w:rFonts w:hAnsi="仿宋" w:eastAsia="仿宋"/>
          <w:sz w:val="32"/>
          <w:szCs w:val="32"/>
        </w:rPr>
      </w:pPr>
    </w:p>
    <w:tbl>
      <w:tblPr>
        <w:tblStyle w:val="3"/>
        <w:tblW w:w="802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030"/>
        <w:gridCol w:w="830"/>
        <w:gridCol w:w="448"/>
        <w:gridCol w:w="2582"/>
        <w:gridCol w:w="11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4308"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3720" w:type="dxa"/>
            <w:gridSpan w:val="2"/>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项目(按经济分类)</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1,116.34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二十三、债务还本支出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二十四、债务付息支出</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用事业基金弥补收支差额</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结余分配</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年初结转和结余</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64.75</w:t>
            </w: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年末结转和结余</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0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合计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1,256.63</w:t>
            </w:r>
          </w:p>
        </w:tc>
        <w:tc>
          <w:tcPr>
            <w:tcW w:w="3030" w:type="dxa"/>
            <w:gridSpan w:val="2"/>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合计</w:t>
            </w:r>
          </w:p>
        </w:tc>
        <w:tc>
          <w:tcPr>
            <w:tcW w:w="11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1,256.63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028" w:type="dxa"/>
            <w:gridSpan w:val="5"/>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bl>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eastAsia="仿宋"/>
          <w:sz w:val="32"/>
          <w:szCs w:val="32"/>
        </w:rPr>
      </w:pPr>
      <w:r>
        <w:rPr>
          <w:rFonts w:hint="eastAsia" w:ascii="仿宋_GB2312" w:eastAsia="仿宋_GB2312"/>
          <w:color w:val="auto"/>
          <w:sz w:val="32"/>
          <w:szCs w:val="32"/>
          <w:lang w:val="en-US" w:eastAsia="zh-CN"/>
        </w:rPr>
        <w:t>收入决算表</w:t>
      </w:r>
      <w:r>
        <w:rPr>
          <w:rFonts w:eastAsia="仿宋"/>
          <w:sz w:val="32"/>
          <w:szCs w:val="32"/>
        </w:rPr>
        <w:t xml:space="preserve"> </w:t>
      </w:r>
    </w:p>
    <w:tbl>
      <w:tblPr>
        <w:tblStyle w:val="3"/>
        <w:tblW w:w="834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37"/>
        <w:gridCol w:w="337"/>
        <w:gridCol w:w="338"/>
        <w:gridCol w:w="3430"/>
        <w:gridCol w:w="922"/>
        <w:gridCol w:w="922"/>
        <w:gridCol w:w="446"/>
        <w:gridCol w:w="360"/>
        <w:gridCol w:w="360"/>
        <w:gridCol w:w="533"/>
        <w:gridCol w:w="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4442" w:type="dxa"/>
            <w:gridSpan w:val="4"/>
            <w:tcBorders>
              <w:top w:val="single" w:color="000000" w:sz="12"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22"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922"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446"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360"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360"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533"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360" w:type="dxa"/>
            <w:vMerge w:val="restart"/>
            <w:tcBorders>
              <w:top w:val="single" w:color="000000" w:sz="12" w:space="0"/>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vMerge w:val="restart"/>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支出功能分类科目编码</w:t>
            </w:r>
          </w:p>
        </w:tc>
        <w:tc>
          <w:tcPr>
            <w:tcW w:w="34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4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3"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4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4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3"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4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2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4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3"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60"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37" w:type="dxa"/>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类</w:t>
            </w:r>
          </w:p>
        </w:tc>
        <w:tc>
          <w:tcPr>
            <w:tcW w:w="33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款</w:t>
            </w:r>
          </w:p>
        </w:tc>
        <w:tc>
          <w:tcPr>
            <w:tcW w:w="33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1,069.99</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1,069.99</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20111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纪检监察事务</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1,068.99</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1,068.99</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783.95</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783.95</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2011199</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其他纪检监察事务支出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285.04</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285.04</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20132</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组织事务</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2013299</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其他组织事务支出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公共安全支出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20404</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检察</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2040401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20805</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行政事业单位离退休</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归口管理的行政单位离退休</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2080505</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行政事业单位医疗</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行政单位医疗</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12"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2101103</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92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44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6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45" w:type="dxa"/>
            <w:gridSpan w:val="11"/>
            <w:tcBorders>
              <w:top w:val="nil"/>
              <w:left w:val="single" w:color="000000" w:sz="12" w:space="0"/>
              <w:bottom w:val="single" w:color="000000" w:sz="12"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337" w:type="dxa"/>
            <w:tcBorders>
              <w:top w:val="nil"/>
              <w:left w:val="nil"/>
              <w:bottom w:val="nil"/>
              <w:right w:val="nil"/>
            </w:tcBorders>
            <w:tcMar>
              <w:top w:w="15" w:type="dxa"/>
              <w:left w:w="15" w:type="dxa"/>
              <w:right w:w="15" w:type="dxa"/>
            </w:tcMar>
            <w:vAlign w:val="bottom"/>
          </w:tcPr>
          <w:p>
            <w:pPr>
              <w:rPr>
                <w:rFonts w:hint="eastAsia" w:ascii="Arial" w:hAnsi="Arial" w:cs="Arial"/>
                <w:i w:val="0"/>
                <w:color w:val="000000"/>
                <w:sz w:val="20"/>
                <w:szCs w:val="20"/>
                <w:u w:val="none"/>
              </w:rPr>
            </w:pPr>
          </w:p>
        </w:tc>
        <w:tc>
          <w:tcPr>
            <w:tcW w:w="337"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38"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43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922"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922"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446"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6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6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533"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6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r>
    </w:tbl>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支出决算表</w:t>
      </w:r>
    </w:p>
    <w:tbl>
      <w:tblPr>
        <w:tblStyle w:val="3"/>
        <w:tblW w:w="834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358"/>
        <w:gridCol w:w="357"/>
        <w:gridCol w:w="358"/>
        <w:gridCol w:w="3430"/>
        <w:gridCol w:w="940"/>
        <w:gridCol w:w="686"/>
        <w:gridCol w:w="686"/>
        <w:gridCol w:w="492"/>
        <w:gridCol w:w="387"/>
        <w:gridCol w:w="6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4503" w:type="dxa"/>
            <w:gridSpan w:val="4"/>
            <w:tcBorders>
              <w:top w:val="single" w:color="000000" w:sz="12" w:space="0"/>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940"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686"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686"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492"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387" w:type="dxa"/>
            <w:vMerge w:val="restart"/>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651" w:type="dxa"/>
            <w:vMerge w:val="restart"/>
            <w:tcBorders>
              <w:top w:val="single" w:color="000000" w:sz="12" w:space="0"/>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vMerge w:val="restart"/>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支出功能分类科目编码</w:t>
            </w:r>
          </w:p>
        </w:tc>
        <w:tc>
          <w:tcPr>
            <w:tcW w:w="34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94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87"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1"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4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87"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1"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4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40"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86"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2"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87" w:type="dxa"/>
            <w:vMerge w:val="continue"/>
            <w:tcBorders>
              <w:top w:val="single" w:color="000000" w:sz="12"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51" w:type="dxa"/>
            <w:vMerge w:val="continue"/>
            <w:tcBorders>
              <w:top w:val="single" w:color="000000" w:sz="12" w:space="0"/>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58" w:type="dxa"/>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类</w:t>
            </w:r>
          </w:p>
        </w:tc>
        <w:tc>
          <w:tcPr>
            <w:tcW w:w="35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款</w:t>
            </w:r>
          </w:p>
        </w:tc>
        <w:tc>
          <w:tcPr>
            <w:tcW w:w="35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887.45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350.79</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1,116.34</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765.55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350.79</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20111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纪检监察事务</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1,115.34</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765.55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349.79</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765.55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765.55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2011199</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其他纪检监察事务支出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349.79</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349.79</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20132</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组织事务</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2013299</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其他组织事务支出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公共安全支出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20404</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检察</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2040401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20805</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行政事业单位离退休</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归口管理的行政单位离退休</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2080505</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行政事业单位医疗</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2101101</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行政单位医疗</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073"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2101103</w:t>
            </w:r>
          </w:p>
        </w:tc>
        <w:tc>
          <w:tcPr>
            <w:tcW w:w="34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w:t>
            </w:r>
          </w:p>
        </w:tc>
        <w:tc>
          <w:tcPr>
            <w:tcW w:w="94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68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492"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87"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65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45" w:type="dxa"/>
            <w:gridSpan w:val="10"/>
            <w:tcBorders>
              <w:top w:val="nil"/>
              <w:left w:val="single" w:color="000000" w:sz="12" w:space="0"/>
              <w:bottom w:val="single" w:color="000000" w:sz="12"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358" w:type="dxa"/>
            <w:tcBorders>
              <w:top w:val="nil"/>
              <w:left w:val="nil"/>
              <w:bottom w:val="nil"/>
              <w:right w:val="nil"/>
            </w:tcBorders>
            <w:tcMar>
              <w:top w:w="15" w:type="dxa"/>
              <w:left w:w="15" w:type="dxa"/>
              <w:right w:w="15" w:type="dxa"/>
            </w:tcMar>
            <w:vAlign w:val="bottom"/>
          </w:tcPr>
          <w:p>
            <w:pPr>
              <w:rPr>
                <w:rFonts w:hint="eastAsia" w:ascii="Arial" w:hAnsi="Arial" w:cs="Arial"/>
                <w:i w:val="0"/>
                <w:color w:val="000000"/>
                <w:sz w:val="20"/>
                <w:szCs w:val="20"/>
                <w:u w:val="none"/>
              </w:rPr>
            </w:pPr>
          </w:p>
        </w:tc>
        <w:tc>
          <w:tcPr>
            <w:tcW w:w="357"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58"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43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94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686"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686"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492"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87"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651"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r>
    </w:tbl>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财政拨款收入支出决算总表</w:t>
      </w:r>
    </w:p>
    <w:tbl>
      <w:tblPr>
        <w:tblStyle w:val="3"/>
        <w:tblW w:w="838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630"/>
        <w:gridCol w:w="830"/>
        <w:gridCol w:w="3030"/>
        <w:gridCol w:w="830"/>
        <w:gridCol w:w="830"/>
        <w:gridCol w:w="2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460"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4920" w:type="dxa"/>
            <w:gridSpan w:val="4"/>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vMerge w:val="restart"/>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    目</w:t>
            </w:r>
          </w:p>
        </w:tc>
        <w:tc>
          <w:tcPr>
            <w:tcW w:w="8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30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项目（按功能分类）</w:t>
            </w:r>
          </w:p>
        </w:tc>
        <w:tc>
          <w:tcPr>
            <w:tcW w:w="8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8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230" w:type="dxa"/>
            <w:vMerge w:val="restart"/>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vMerge w:val="continue"/>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0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30" w:type="dxa"/>
            <w:vMerge w:val="continue"/>
            <w:tcBorders>
              <w:top w:val="nil"/>
              <w:left w:val="nil"/>
              <w:bottom w:val="single" w:color="000000" w:sz="4" w:space="0"/>
              <w:right w:val="single" w:color="000000" w:sz="12"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1,116.34</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1,116.34</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48.88</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48.88</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22.75</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22.75</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二十三、债务还本支出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二十四、债务付息支出</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1,191.88</w:t>
            </w: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64.75</w:t>
            </w: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18.40</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18.40</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64.75</w:t>
            </w: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1,256.63</w:t>
            </w:r>
          </w:p>
        </w:tc>
        <w:tc>
          <w:tcPr>
            <w:tcW w:w="30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1,256.63</w:t>
            </w:r>
          </w:p>
        </w:tc>
        <w:tc>
          <w:tcPr>
            <w:tcW w:w="8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1,256.63</w:t>
            </w:r>
          </w:p>
        </w:tc>
        <w:tc>
          <w:tcPr>
            <w:tcW w:w="230"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80" w:type="dxa"/>
            <w:gridSpan w:val="6"/>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bl>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eastAsia="仿宋"/>
          <w:sz w:val="32"/>
          <w:szCs w:val="32"/>
        </w:rPr>
      </w:pPr>
      <w:r>
        <w:rPr>
          <w:rFonts w:hAnsi="仿宋" w:eastAsia="仿宋"/>
          <w:sz w:val="32"/>
          <w:szCs w:val="32"/>
        </w:rPr>
        <w:t>一般公共预算财政拨款支出决算表</w:t>
      </w:r>
    </w:p>
    <w:tbl>
      <w:tblPr>
        <w:tblStyle w:val="3"/>
        <w:tblW w:w="834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710"/>
        <w:gridCol w:w="709"/>
        <w:gridCol w:w="710"/>
        <w:gridCol w:w="3597"/>
        <w:gridCol w:w="878"/>
        <w:gridCol w:w="871"/>
        <w:gridCol w:w="8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5726" w:type="dxa"/>
            <w:gridSpan w:val="4"/>
            <w:tcBorders>
              <w:top w:val="single" w:color="000000" w:sz="12"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2620" w:type="dxa"/>
            <w:gridSpan w:val="3"/>
            <w:tcBorders>
              <w:top w:val="single" w:color="000000" w:sz="12"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vMerge w:val="restart"/>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支出功能分类科目编码</w:t>
            </w:r>
          </w:p>
        </w:tc>
        <w:tc>
          <w:tcPr>
            <w:tcW w:w="3597"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878"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871"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871"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597"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8"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1"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1"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2129" w:type="dxa"/>
            <w:gridSpan w:val="3"/>
            <w:vMerge w:val="continue"/>
            <w:tcBorders>
              <w:top w:val="nil"/>
              <w:left w:val="single" w:color="000000" w:sz="12"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3597"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8"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1"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871"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710" w:type="dxa"/>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类</w:t>
            </w:r>
          </w:p>
        </w:tc>
        <w:tc>
          <w:tcPr>
            <w:tcW w:w="70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款</w:t>
            </w:r>
          </w:p>
        </w:tc>
        <w:tc>
          <w:tcPr>
            <w:tcW w:w="71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887.45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350.79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1,116.34</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765.55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350.79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20111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纪检监察事务</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1,115.34</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765.55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349.79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2011101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765.55</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765.55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2011199</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其他纪检监察事务支出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349.79</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349.79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20132</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组织事务</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2013299</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其他组织事务支出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公共安全支出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20404</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检察</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2040401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50.27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社会保障和就业支出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20805</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行政事业单位离退休</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48.87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归口管理的行政单位离退休</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2080505</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卫生健康支出</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21011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行政事业单位医疗</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22.75</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b/>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2101101</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行政单位医疗</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29" w:type="dxa"/>
            <w:gridSpan w:val="3"/>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2101103</w:t>
            </w:r>
          </w:p>
        </w:tc>
        <w:tc>
          <w:tcPr>
            <w:tcW w:w="3597"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w:t>
            </w:r>
          </w:p>
        </w:tc>
        <w:tc>
          <w:tcPr>
            <w:tcW w:w="87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87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871"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46" w:type="dxa"/>
            <w:gridSpan w:val="7"/>
            <w:tcBorders>
              <w:top w:val="nil"/>
              <w:left w:val="single" w:color="000000" w:sz="12" w:space="0"/>
              <w:bottom w:val="single" w:color="000000" w:sz="12" w:space="0"/>
              <w:right w:val="single" w:color="000000" w:sz="12"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270" w:hRule="atLeast"/>
        </w:trPr>
        <w:tc>
          <w:tcPr>
            <w:tcW w:w="710" w:type="dxa"/>
            <w:tcBorders>
              <w:top w:val="nil"/>
              <w:left w:val="nil"/>
              <w:bottom w:val="nil"/>
              <w:right w:val="nil"/>
            </w:tcBorders>
            <w:tcMar>
              <w:top w:w="15" w:type="dxa"/>
              <w:left w:w="15" w:type="dxa"/>
              <w:right w:w="15" w:type="dxa"/>
            </w:tcMar>
            <w:vAlign w:val="bottom"/>
          </w:tcPr>
          <w:p>
            <w:pPr>
              <w:rPr>
                <w:rFonts w:hint="eastAsia" w:ascii="Arial" w:hAnsi="Arial" w:cs="Arial"/>
                <w:i w:val="0"/>
                <w:color w:val="000000"/>
                <w:sz w:val="20"/>
                <w:szCs w:val="20"/>
                <w:u w:val="none"/>
              </w:rPr>
            </w:pPr>
          </w:p>
        </w:tc>
        <w:tc>
          <w:tcPr>
            <w:tcW w:w="709"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710"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3597"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878"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871"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c>
          <w:tcPr>
            <w:tcW w:w="871" w:type="dxa"/>
            <w:tcBorders>
              <w:top w:val="nil"/>
              <w:left w:val="nil"/>
              <w:bottom w:val="nil"/>
              <w:right w:val="nil"/>
            </w:tcBorders>
            <w:tcMar>
              <w:top w:w="15" w:type="dxa"/>
              <w:left w:w="15" w:type="dxa"/>
              <w:right w:w="15" w:type="dxa"/>
            </w:tcMar>
            <w:vAlign w:val="bottom"/>
          </w:tcPr>
          <w:p>
            <w:pPr>
              <w:rPr>
                <w:rFonts w:hint="default" w:ascii="Arial" w:hAnsi="Arial" w:cs="Arial"/>
                <w:i w:val="0"/>
                <w:color w:val="000000"/>
                <w:sz w:val="20"/>
                <w:szCs w:val="20"/>
                <w:u w:val="none"/>
              </w:rPr>
            </w:pPr>
          </w:p>
        </w:tc>
      </w:tr>
    </w:tbl>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hint="eastAsia" w:ascii="仿宋_GB2312" w:eastAsia="仿宋_GB2312"/>
          <w:color w:val="auto"/>
          <w:sz w:val="32"/>
          <w:szCs w:val="32"/>
          <w:lang w:val="en-US" w:eastAsia="zh-CN"/>
        </w:rPr>
      </w:pPr>
      <w:r>
        <w:rPr>
          <w:rFonts w:hAnsi="仿宋" w:eastAsia="仿宋"/>
          <w:spacing w:val="-14"/>
          <w:sz w:val="32"/>
          <w:szCs w:val="32"/>
        </w:rPr>
        <w:t>一</w:t>
      </w:r>
      <w:r>
        <w:rPr>
          <w:rFonts w:hint="eastAsia" w:ascii="仿宋_GB2312" w:eastAsia="仿宋_GB2312"/>
          <w:color w:val="auto"/>
          <w:sz w:val="32"/>
          <w:szCs w:val="32"/>
          <w:lang w:val="en-US" w:eastAsia="zh-CN"/>
        </w:rPr>
        <w:t>般公共预算财政拨款支出决算明细表</w:t>
      </w:r>
    </w:p>
    <w:tbl>
      <w:tblPr>
        <w:tblStyle w:val="3"/>
        <w:tblW w:w="834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748"/>
        <w:gridCol w:w="3608"/>
        <w:gridCol w:w="29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80" w:hRule="atLeast"/>
        </w:trPr>
        <w:tc>
          <w:tcPr>
            <w:tcW w:w="5356" w:type="dxa"/>
            <w:gridSpan w:val="2"/>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    目</w:t>
            </w:r>
          </w:p>
        </w:tc>
        <w:tc>
          <w:tcPr>
            <w:tcW w:w="2989" w:type="dxa"/>
            <w:vMerge w:val="restart"/>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合     计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84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经济分类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科目编码</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2989" w:type="dxa"/>
            <w:vMerge w:val="continue"/>
            <w:tcBorders>
              <w:top w:val="single" w:color="000000" w:sz="4"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50" w:hRule="atLeast"/>
        </w:trPr>
        <w:tc>
          <w:tcPr>
            <w:tcW w:w="5356" w:type="dxa"/>
            <w:gridSpan w:val="2"/>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         计</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1,238.23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787.93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347.83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309</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资本性支出（基本建设）</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94.78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311</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对企业补助（基本建设）</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对企业补助</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1748"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608"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2989"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45" w:type="dxa"/>
            <w:gridSpan w:val="3"/>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bl>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tabs>
          <w:tab w:val="left" w:pos="7513"/>
        </w:tabs>
        <w:spacing w:line="600" w:lineRule="exact"/>
        <w:jc w:val="both"/>
        <w:rPr>
          <w:rFonts w:eastAsia="仿宋"/>
          <w:sz w:val="32"/>
          <w:szCs w:val="32"/>
        </w:rPr>
      </w:pPr>
    </w:p>
    <w:p>
      <w:pPr>
        <w:pStyle w:val="4"/>
        <w:numPr>
          <w:ilvl w:val="0"/>
          <w:numId w:val="1"/>
        </w:numPr>
        <w:spacing w:line="600" w:lineRule="exact"/>
        <w:ind w:firstLineChars="0"/>
        <w:jc w:val="both"/>
        <w:rPr>
          <w:rFonts w:hint="eastAsia" w:ascii="仿宋_GB2312" w:eastAsia="仿宋_GB2312"/>
          <w:color w:val="auto"/>
          <w:sz w:val="32"/>
          <w:szCs w:val="32"/>
          <w:lang w:val="en-US" w:eastAsia="zh-CN"/>
        </w:rPr>
      </w:pPr>
      <w:r>
        <w:rPr>
          <w:rFonts w:hint="eastAsia" w:ascii="仿宋_GB2312" w:eastAsia="仿宋_GB2312"/>
          <w:color w:val="auto"/>
          <w:sz w:val="32"/>
          <w:szCs w:val="32"/>
          <w:lang w:val="en-US" w:eastAsia="zh-CN"/>
        </w:rPr>
        <w:t xml:space="preserve">一般公共预算财政拨款基本支出决算表 </w:t>
      </w:r>
    </w:p>
    <w:tbl>
      <w:tblPr>
        <w:tblStyle w:val="3"/>
        <w:tblW w:w="917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30"/>
        <w:gridCol w:w="2113"/>
        <w:gridCol w:w="630"/>
        <w:gridCol w:w="530"/>
        <w:gridCol w:w="1416"/>
        <w:gridCol w:w="530"/>
        <w:gridCol w:w="1206"/>
        <w:gridCol w:w="1694"/>
        <w:gridCol w:w="53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3273" w:type="dxa"/>
            <w:gridSpan w:val="3"/>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5906" w:type="dxa"/>
            <w:gridSpan w:val="6"/>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vMerge w:val="restart"/>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经济分类科目 编码</w:t>
            </w:r>
          </w:p>
        </w:tc>
        <w:tc>
          <w:tcPr>
            <w:tcW w:w="2113"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6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5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经济分类科目 编码</w:t>
            </w:r>
          </w:p>
        </w:tc>
        <w:tc>
          <w:tcPr>
            <w:tcW w:w="1416"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5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1206"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经济分类科目 编码</w:t>
            </w:r>
          </w:p>
        </w:tc>
        <w:tc>
          <w:tcPr>
            <w:tcW w:w="1694"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530" w:type="dxa"/>
            <w:vMerge w:val="restart"/>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vMerge w:val="continue"/>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13"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16"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06"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94"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vMerge w:val="continue"/>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2113"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6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416"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206"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694"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530" w:type="dxa"/>
            <w:vMerge w:val="continue"/>
            <w:tcBorders>
              <w:top w:val="nil"/>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787.93</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92.44</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104.96</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23.58</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242.57</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255.02</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3.55</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42.18</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3.29</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14.97</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7.78</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0.25</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5.59</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57.60</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 </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59.05</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3.41</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0.93</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对企业补助</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31201</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资本金注入</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31203</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政府投资基金股权投资</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0.39</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31204</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费用补贴</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4.50</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31205</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利息补贴</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16.68</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31299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其他对企业补助</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0.44</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5.80</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6.69</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22.23</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85"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4.14</w:t>
            </w: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30703</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国内债务发行费用</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530"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113" w:type="dxa"/>
            <w:tcBorders>
              <w:top w:val="nil"/>
              <w:left w:val="nil"/>
              <w:bottom w:val="single" w:color="000000" w:sz="4"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30704</w:t>
            </w:r>
          </w:p>
        </w:tc>
        <w:tc>
          <w:tcPr>
            <w:tcW w:w="1416"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国外债务发行费用</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206"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1694"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643" w:type="dxa"/>
            <w:gridSpan w:val="2"/>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6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794.63</w:t>
            </w:r>
          </w:p>
        </w:tc>
        <w:tc>
          <w:tcPr>
            <w:tcW w:w="5376" w:type="dxa"/>
            <w:gridSpan w:val="5"/>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530"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9179" w:type="dxa"/>
            <w:gridSpan w:val="9"/>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注：部分数据存在尾数差异，为四舍五入形成。</w:t>
            </w:r>
          </w:p>
        </w:tc>
      </w:tr>
    </w:tbl>
    <w:p>
      <w:pPr>
        <w:pStyle w:val="4"/>
        <w:numPr>
          <w:ilvl w:val="0"/>
          <w:numId w:val="0"/>
        </w:numPr>
        <w:spacing w:line="600" w:lineRule="exact"/>
        <w:ind w:leftChars="0"/>
        <w:jc w:val="both"/>
        <w:rPr>
          <w:rFonts w:eastAsia="仿宋"/>
          <w:sz w:val="32"/>
          <w:szCs w:val="32"/>
        </w:rPr>
      </w:pPr>
    </w:p>
    <w:p>
      <w:pPr>
        <w:pStyle w:val="4"/>
        <w:numPr>
          <w:ilvl w:val="0"/>
          <w:numId w:val="1"/>
        </w:numPr>
        <w:spacing w:line="600" w:lineRule="exact"/>
        <w:ind w:firstLineChars="0"/>
        <w:jc w:val="both"/>
        <w:rPr>
          <w:rFonts w:eastAsia="仿宋"/>
          <w:sz w:val="32"/>
          <w:szCs w:val="32"/>
        </w:rPr>
      </w:pPr>
      <w:r>
        <w:rPr>
          <w:rFonts w:hint="eastAsia" w:ascii="仿宋_GB2312" w:eastAsia="仿宋_GB2312"/>
          <w:color w:val="auto"/>
          <w:sz w:val="32"/>
          <w:szCs w:val="32"/>
          <w:lang w:val="en-US" w:eastAsia="zh-CN"/>
        </w:rPr>
        <w:t>政府性基金预算财政拨款收入支出决算表</w:t>
      </w:r>
      <w:r>
        <w:rPr>
          <w:rFonts w:eastAsia="仿宋"/>
          <w:sz w:val="32"/>
          <w:szCs w:val="32"/>
        </w:rPr>
        <w:t xml:space="preserve"> </w:t>
      </w:r>
    </w:p>
    <w:p>
      <w:pPr>
        <w:pStyle w:val="4"/>
        <w:numPr>
          <w:ilvl w:val="0"/>
          <w:numId w:val="0"/>
        </w:numPr>
        <w:spacing w:line="600" w:lineRule="exact"/>
        <w:ind w:leftChars="0"/>
        <w:jc w:val="both"/>
        <w:rPr>
          <w:rFonts w:hint="eastAsia" w:eastAsia="仿宋"/>
          <w:sz w:val="32"/>
          <w:szCs w:val="32"/>
          <w:lang w:eastAsia="zh-CN"/>
        </w:rPr>
      </w:pPr>
      <w:r>
        <w:rPr>
          <w:rFonts w:hint="eastAsia" w:eastAsia="仿宋"/>
          <w:sz w:val="32"/>
          <w:szCs w:val="32"/>
          <w:lang w:eastAsia="zh-CN"/>
        </w:rPr>
        <w:t>无</w:t>
      </w: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int="eastAsia" w:eastAsia="仿宋"/>
          <w:sz w:val="32"/>
          <w:szCs w:val="32"/>
          <w:lang w:eastAsia="zh-CN"/>
        </w:rPr>
      </w:pPr>
    </w:p>
    <w:p>
      <w:pPr>
        <w:pStyle w:val="4"/>
        <w:numPr>
          <w:ilvl w:val="0"/>
          <w:numId w:val="0"/>
        </w:numPr>
        <w:spacing w:line="600" w:lineRule="exact"/>
        <w:ind w:leftChars="0"/>
        <w:jc w:val="both"/>
        <w:rPr>
          <w:rFonts w:hAnsi="仿宋" w:eastAsia="仿宋"/>
          <w:spacing w:val="-14"/>
          <w:sz w:val="32"/>
          <w:szCs w:val="32"/>
          <w:lang w:val="en-US" w:eastAsia="zh-CN"/>
        </w:rPr>
      </w:pPr>
    </w:p>
    <w:p>
      <w:pPr>
        <w:pStyle w:val="4"/>
        <w:numPr>
          <w:ilvl w:val="0"/>
          <w:numId w:val="0"/>
        </w:numPr>
        <w:spacing w:line="600" w:lineRule="exact"/>
        <w:ind w:leftChars="0"/>
        <w:jc w:val="both"/>
        <w:rPr>
          <w:rFonts w:hint="eastAsia" w:ascii="仿宋_GB2312" w:eastAsia="仿宋_GB2312"/>
          <w:color w:val="auto"/>
          <w:sz w:val="32"/>
          <w:szCs w:val="32"/>
          <w:lang w:val="en-US" w:eastAsia="zh-CN"/>
        </w:rPr>
      </w:pPr>
      <w:r>
        <w:rPr>
          <w:rFonts w:hint="eastAsia" w:hAnsi="仿宋" w:eastAsia="仿宋"/>
          <w:spacing w:val="-14"/>
          <w:sz w:val="32"/>
          <w:szCs w:val="32"/>
          <w:lang w:val="en-US" w:eastAsia="zh-CN"/>
        </w:rPr>
        <w:t>九、</w:t>
      </w:r>
      <w:r>
        <w:rPr>
          <w:rFonts w:hAnsi="仿宋" w:eastAsia="仿宋"/>
          <w:spacing w:val="-14"/>
          <w:sz w:val="32"/>
          <w:szCs w:val="32"/>
          <w:lang w:val="en-US" w:eastAsia="zh-CN"/>
        </w:rPr>
        <w:t>机</w:t>
      </w:r>
      <w:r>
        <w:rPr>
          <w:rFonts w:hint="eastAsia" w:ascii="仿宋_GB2312" w:eastAsia="仿宋_GB2312"/>
          <w:color w:val="auto"/>
          <w:sz w:val="32"/>
          <w:szCs w:val="32"/>
          <w:lang w:val="en-US" w:eastAsia="zh-CN"/>
        </w:rPr>
        <w:t>构运行信息表</w:t>
      </w:r>
    </w:p>
    <w:tbl>
      <w:tblPr>
        <w:tblStyle w:val="3"/>
        <w:tblW w:w="834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157"/>
        <w:gridCol w:w="962"/>
        <w:gridCol w:w="961"/>
        <w:gridCol w:w="2341"/>
        <w:gridCol w:w="962"/>
        <w:gridCol w:w="9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  目</w:t>
            </w:r>
          </w:p>
        </w:tc>
        <w:tc>
          <w:tcPr>
            <w:tcW w:w="962" w:type="dxa"/>
            <w:vMerge w:val="restart"/>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961" w:type="dxa"/>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统计数</w:t>
            </w:r>
          </w:p>
        </w:tc>
        <w:tc>
          <w:tcPr>
            <w:tcW w:w="2341" w:type="dxa"/>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  目</w:t>
            </w:r>
          </w:p>
        </w:tc>
        <w:tc>
          <w:tcPr>
            <w:tcW w:w="962" w:type="dxa"/>
            <w:vMerge w:val="restart"/>
            <w:tcBorders>
              <w:top w:val="single" w:color="000000" w:sz="4" w:space="0"/>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962" w:type="dxa"/>
            <w:tcBorders>
              <w:top w:val="single" w:color="000000" w:sz="4" w:space="0"/>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统计数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12"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  次</w:t>
            </w:r>
          </w:p>
        </w:tc>
        <w:tc>
          <w:tcPr>
            <w:tcW w:w="962" w:type="dxa"/>
            <w:vMerge w:val="continue"/>
            <w:tcBorders>
              <w:top w:val="single" w:color="000000" w:sz="4"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  次</w:t>
            </w:r>
          </w:p>
        </w:tc>
        <w:tc>
          <w:tcPr>
            <w:tcW w:w="962" w:type="dxa"/>
            <w:vMerge w:val="continue"/>
            <w:tcBorders>
              <w:top w:val="single" w:color="000000" w:sz="4" w:space="0"/>
              <w:left w:val="nil"/>
              <w:bottom w:val="single" w:color="000000" w:sz="4" w:space="0"/>
              <w:right w:val="single" w:color="000000" w:sz="4" w:space="0"/>
            </w:tcBorders>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一、“三公”经费支出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二、机关运行经费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（一）支出合计</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73.75</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（一）行政单位</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1．因公出国（境）费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（二）参照公务员法管理事业单位</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2．公务用车购置及运行维护费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72.82</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三、资产信息</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（1）公务用车购置费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67.01</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（一）车辆数合计（辆）</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（2）公务用车运行维护费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5.80</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1.副部（省）级及以上领导用车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3．公务接待费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0.93</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2.主要领导干部用车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（1）国内接待费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0.93</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3.机要通信用车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其中：外事接待费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4.应急保障用车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（2）国（境）外接待费</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5.执法执勤用车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（二）相关统计数</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6.特种专业技术用车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1．因公出国（境）团组数（个）</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7.离退休干部用车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2．因公出国（境）人次数（人）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8.其他用车</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3．公务用车购置数（辆）</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（二）单价50万元以上通用设备（台，套）</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4．公务用车保有量（辆）</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（三）单价100万元以上专用设备（台，套）</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5．国内公务接待批次（个）</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四、政府采购支出信息</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其中：外事接待批次（个）</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（一）政府采购支出合计</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94.44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6．国内公务接待人次（人）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75</w:t>
            </w: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1．政府采购货物支出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94.44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其中：外事接待人次（人）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2．政府采购工程支出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7．国（境）外公务接待批次（个）</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3．政府采购服务支出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8．国（境）外公务接待人次（人）</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961"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2341"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（二）政府采购授予中小企业合同金额</w:t>
            </w:r>
          </w:p>
        </w:tc>
        <w:tc>
          <w:tcPr>
            <w:tcW w:w="962" w:type="dxa"/>
            <w:tcBorders>
              <w:top w:val="nil"/>
              <w:left w:val="nil"/>
              <w:bottom w:val="single" w:color="000000" w:sz="4"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962" w:type="dxa"/>
            <w:tcBorders>
              <w:top w:val="nil"/>
              <w:left w:val="nil"/>
              <w:bottom w:val="single" w:color="000000" w:sz="4"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2157" w:type="dxa"/>
            <w:tcBorders>
              <w:top w:val="nil"/>
              <w:left w:val="single" w:color="000000" w:sz="4" w:space="0"/>
              <w:bottom w:val="single" w:color="000000" w:sz="12"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62" w:type="dxa"/>
            <w:tcBorders>
              <w:top w:val="nil"/>
              <w:left w:val="nil"/>
              <w:bottom w:val="single" w:color="000000" w:sz="12"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961" w:type="dxa"/>
            <w:tcBorders>
              <w:top w:val="nil"/>
              <w:left w:val="nil"/>
              <w:bottom w:val="single" w:color="000000" w:sz="12" w:space="0"/>
              <w:right w:val="single" w:color="000000" w:sz="4" w:space="0"/>
            </w:tcBorders>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2341" w:type="dxa"/>
            <w:tcBorders>
              <w:top w:val="nil"/>
              <w:left w:val="nil"/>
              <w:bottom w:val="single" w:color="000000" w:sz="12" w:space="0"/>
              <w:right w:val="single" w:color="000000" w:sz="4" w:space="0"/>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其中：授予小微企业合同金额</w:t>
            </w:r>
          </w:p>
        </w:tc>
        <w:tc>
          <w:tcPr>
            <w:tcW w:w="962" w:type="dxa"/>
            <w:tcBorders>
              <w:top w:val="nil"/>
              <w:left w:val="nil"/>
              <w:bottom w:val="single" w:color="000000" w:sz="12" w:space="0"/>
              <w:right w:val="single" w:color="000000" w:sz="4" w:space="0"/>
            </w:tcBorders>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962" w:type="dxa"/>
            <w:tcBorders>
              <w:top w:val="nil"/>
              <w:left w:val="nil"/>
              <w:bottom w:val="single" w:color="000000" w:sz="12" w:space="0"/>
              <w:right w:val="single" w:color="000000" w:sz="12" w:space="0"/>
            </w:tcBorders>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00" w:hRule="atLeast"/>
        </w:trPr>
        <w:tc>
          <w:tcPr>
            <w:tcW w:w="8345" w:type="dxa"/>
            <w:gridSpan w:val="6"/>
            <w:tcBorders>
              <w:top w:val="nil"/>
              <w:left w:val="single" w:color="000000" w:sz="4" w:space="0"/>
              <w:bottom w:val="nil"/>
              <w:right w:val="nil"/>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注：1．本表反映部门决算中"三公"经费、机关运行经费和国有资产占用情况等相关统计指标。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0" w:hRule="atLeast"/>
        </w:trPr>
        <w:tc>
          <w:tcPr>
            <w:tcW w:w="8345" w:type="dxa"/>
            <w:gridSpan w:val="6"/>
            <w:tcBorders>
              <w:top w:val="nil"/>
              <w:left w:val="single" w:color="000000" w:sz="4" w:space="0"/>
              <w:bottom w:val="nil"/>
              <w:right w:val="nil"/>
            </w:tcBorders>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2．“三公”经费填列单位使用一般公共预算财政拨款安排的支出，其中：中央单位不包括教学科研人员因公出国（境）费及相关团组和人次，地方单位按照本级部门预算口径填报。预算数填列年初预算数，支出统计数应与财决08表保持衔接。“三公”经费相关统计数是指使用一般公共预算财政拨款负担费用的相关批次、人次及车辆情况。</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黑体"/>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w:panose1 w:val="020B0604020202020204"/>
    <w:charset w:val="00"/>
    <w:family w:val="auto"/>
    <w:pitch w:val="default"/>
    <w:sig w:usb0="E0002AFF" w:usb1="C0007843" w:usb2="00000009" w:usb3="00000000" w:csb0="400001FF" w:csb1="FFFF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F56BA8"/>
    <w:multiLevelType w:val="multilevel"/>
    <w:tmpl w:val="6BF56BA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D65925"/>
    <w:rsid w:val="60D65925"/>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sz w:val="21"/>
      <w:szCs w:val="22"/>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厦门市翔安区政府</Company>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2020-09-27T09:29:00Z</dcterms:created>
  <dc:creator>????????¤</dc:creator>
  <cp:lastModifiedBy>????????¤</cp:lastModifiedBy>
  <dcterms:modified xsi:type="dcterms:W3CDTF">2020-09-27T09:29:51Z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