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rPr>
          <w:rFonts w:hint="default"/>
          <w:sz w:val="2"/>
        </w:rPr>
      </w:pPr>
    </w:p>
    <w:tbl>
      <w:tblPr>
        <w:tblStyle w:val="5"/>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86"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25" w:lineRule="exact"/>
              <w:jc w:val="center"/>
              <w:rPr>
                <w:rFonts w:hint="default" w:ascii="黑体" w:hAnsi="黑体" w:eastAsia="黑体"/>
                <w:sz w:val="30"/>
              </w:rPr>
            </w:pPr>
            <w:r>
              <w:rPr>
                <w:rFonts w:hint="eastAsia" w:ascii="方正小标宋简体" w:hAnsi="方正小标宋简体" w:eastAsia="方正小标宋简体"/>
                <w:sz w:val="44"/>
              </w:rPr>
              <w:t>2024年度厦门市翔安教育集团东方新城幼儿园单位预算</w:t>
            </w:r>
          </w:p>
          <w:p>
            <w:pPr>
              <w:spacing w:beforeLines="0" w:afterLines="0" w:line="525" w:lineRule="exact"/>
              <w:jc w:val="center"/>
              <w:rPr>
                <w:rFonts w:hint="default" w:ascii="黑体" w:hAnsi="黑体" w:eastAsia="黑体"/>
                <w:sz w:val="30"/>
              </w:rPr>
            </w:pPr>
          </w:p>
          <w:p>
            <w:pPr>
              <w:spacing w:beforeLines="0" w:afterLines="0" w:line="525" w:lineRule="exact"/>
              <w:jc w:val="center"/>
              <w:rPr>
                <w:rFonts w:hint="default" w:ascii="黑体" w:hAnsi="黑体" w:eastAsia="黑体"/>
                <w:sz w:val="32"/>
              </w:rPr>
            </w:pPr>
            <w:r>
              <w:rPr>
                <w:rFonts w:hint="default" w:ascii="黑体" w:hAnsi="黑体" w:eastAsia="黑体"/>
                <w:sz w:val="32"/>
              </w:rPr>
              <w:t>目　　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default" w:ascii="仿宋" w:hAnsi="仿宋" w:eastAsia="仿宋"/>
                <w:sz w:val="32"/>
              </w:rPr>
            </w:pPr>
            <w:r>
              <w:rPr>
                <w:rFonts w:hint="default" w:ascii="黑体" w:hAnsi="黑体" w:eastAsia="黑体"/>
                <w:sz w:val="32"/>
              </w:rPr>
              <w:t>　　第一部分   单位概况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一、单位主要职责</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二、单位基本情况</w:t>
            </w:r>
          </w:p>
          <w:p>
            <w:pPr>
              <w:spacing w:beforeLines="0" w:afterLines="0" w:line="555" w:lineRule="exact"/>
              <w:rPr>
                <w:rFonts w:hint="default" w:ascii="黑体" w:hAnsi="黑体" w:eastAsia="黑体"/>
                <w:sz w:val="32"/>
              </w:rPr>
            </w:pPr>
            <w:r>
              <w:rPr>
                <w:rFonts w:hint="eastAsia" w:ascii="FangSong_GB2312" w:hAnsi="FangSong_GB2312" w:eastAsia="FangSong_GB2312"/>
                <w:sz w:val="32"/>
              </w:rPr>
              <w:t>　　三、单位主要工作任务</w:t>
            </w:r>
          </w:p>
          <w:p>
            <w:pPr>
              <w:spacing w:beforeLines="0" w:afterLines="0" w:line="555" w:lineRule="exact"/>
              <w:rPr>
                <w:rFonts w:hint="default" w:ascii="黑体" w:hAnsi="黑体" w:eastAsia="黑体"/>
                <w:sz w:val="32"/>
              </w:rPr>
            </w:pPr>
            <w:r>
              <w:rPr>
                <w:rFonts w:hint="default" w:ascii="黑体" w:hAnsi="黑体" w:eastAsia="黑体"/>
                <w:sz w:val="32"/>
              </w:rPr>
              <w:t>　　第二部分   2024年单位预算说明</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一、2024年单位预算收支总体情况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二、一般公共预算财政拨款支出预算情况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三、政府性基金预算财政拨款支出情况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四、“三公”经费财政拨款预算情况</w:t>
            </w:r>
          </w:p>
          <w:p>
            <w:pPr>
              <w:spacing w:beforeLines="0" w:afterLines="0" w:line="555" w:lineRule="exact"/>
              <w:rPr>
                <w:rFonts w:hint="default" w:ascii="黑体" w:hAnsi="黑体" w:eastAsia="黑体"/>
                <w:sz w:val="32"/>
              </w:rPr>
            </w:pPr>
            <w:r>
              <w:rPr>
                <w:rFonts w:hint="eastAsia" w:ascii="FangSong_GB2312" w:hAnsi="FangSong_GB2312" w:eastAsia="FangSong_GB2312"/>
                <w:sz w:val="32"/>
              </w:rPr>
              <w:t>　　五、其他重要事项的情况说明</w:t>
            </w:r>
          </w:p>
          <w:p>
            <w:pPr>
              <w:spacing w:beforeLines="0" w:afterLines="0" w:line="555" w:lineRule="exact"/>
              <w:rPr>
                <w:rFonts w:hint="default" w:ascii="黑体" w:hAnsi="黑体" w:eastAsia="黑体"/>
                <w:sz w:val="32"/>
              </w:rPr>
            </w:pPr>
            <w:r>
              <w:rPr>
                <w:rFonts w:hint="default" w:ascii="黑体" w:hAnsi="黑体" w:eastAsia="黑体"/>
                <w:sz w:val="32"/>
              </w:rPr>
              <w:t>　　第三部分   名词解释</w:t>
            </w:r>
          </w:p>
          <w:p>
            <w:pPr>
              <w:spacing w:beforeLines="0" w:afterLines="0" w:line="555" w:lineRule="exact"/>
              <w:rPr>
                <w:rFonts w:hint="default" w:ascii="黑体" w:hAnsi="黑体" w:eastAsia="黑体"/>
                <w:sz w:val="32"/>
              </w:rPr>
            </w:pPr>
            <w:r>
              <w:rPr>
                <w:rFonts w:hint="default" w:ascii="黑体" w:hAnsi="黑体" w:eastAsia="黑体"/>
                <w:sz w:val="32"/>
              </w:rPr>
              <w:t>　　第四部分   2024年单位预算附表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一、部门收支预算总体情况表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二、部门收入预算总体情况表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三、部门支出预算总体情况表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四、财政拨款收支预算总体情况表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五、 一般公共预算支出情况表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六、一般公共预算基本支出情况表（经济分类款级科目）</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七、一般公共预算“三公”经费支出情况表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八、政府性基金预算支出情况表</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九、区对镇（街）转移支付支出预算表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rPr>
            </w:pPr>
            <w:r>
              <w:rPr>
                <w:rFonts w:hint="default" w:ascii="黑体" w:hAnsi="黑体" w:eastAsia="黑体"/>
                <w:sz w:val="32"/>
              </w:rPr>
              <w:t>第一部分  单位概况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rPr>
            </w:pPr>
            <w:r>
              <w:rPr>
                <w:rFonts w:hint="default" w:ascii="黑体" w:hAnsi="黑体" w:eastAsia="黑体"/>
                <w:sz w:val="32"/>
              </w:rPr>
              <w:t>　　一、单位主要职责</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厦门市翔安教育集团东方新城幼儿园的主要职责是：</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一）贯彻执行党和政府制定的方针、政策、法规，根据教育改革的要求、幼儿园的实际，提出长远设想、任期目标，制定工作计划；对幼儿园的发展规划、教育工作的各项目标、教育教学改革方案等重大问题作出决策。</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（二）管理幼儿园人事工作，调配岗位人员安排，建立教职工岗位责任制；抓好领导班子和教职工政治学习和业务进修；按时向教代会述职，听取教代会代表意见。</w:t>
            </w:r>
          </w:p>
          <w:p>
            <w:pPr>
              <w:spacing w:beforeLines="0" w:afterLines="0" w:line="555" w:lineRule="exact"/>
              <w:ind w:firstLine="640"/>
              <w:rPr>
                <w:rFonts w:hint="eastAsia" w:ascii="FangSong_GB2312" w:hAnsi="FangSong_GB2312" w:eastAsia="FangSong_GB2312"/>
                <w:sz w:val="32"/>
              </w:rPr>
            </w:pPr>
            <w:r>
              <w:rPr>
                <w:rFonts w:hint="eastAsia" w:ascii="FangSong_GB2312" w:hAnsi="FangSong_GB2312" w:eastAsia="FangSong_GB2312"/>
                <w:sz w:val="32"/>
              </w:rPr>
              <w:t>（三）坚持以教学为中心，加强教学管理，深化教学改革，深入教学第一线，指导教育研究工作，确定教研和科研课题，全面提高教学质量。</w:t>
            </w:r>
          </w:p>
          <w:p>
            <w:pPr>
              <w:spacing w:beforeLines="0" w:afterLines="0" w:line="555" w:lineRule="exact"/>
              <w:ind w:firstLine="640"/>
              <w:rPr>
                <w:rFonts w:hint="default" w:ascii="FangSong_GB2312" w:hAnsi="FangSong_GB2312" w:eastAsia="FangSong_GB2312"/>
                <w:sz w:val="32"/>
              </w:rPr>
            </w:pPr>
            <w:r>
              <w:rPr>
                <w:rFonts w:hint="default" w:ascii="FangSong_GB2312" w:hAnsi="FangSong_GB2312" w:eastAsia="FangSong_GB2312"/>
                <w:sz w:val="32"/>
              </w:rPr>
              <w:t>（四）做好思想政治教育工作，指导教师教书育人，发挥办公室、工会、后勤和团队组织在思想教育工作中的作用。</w:t>
            </w:r>
          </w:p>
          <w:p>
            <w:pPr>
              <w:spacing w:beforeLines="0" w:afterLines="0" w:line="555" w:lineRule="exact"/>
              <w:ind w:firstLine="640"/>
              <w:rPr>
                <w:rFonts w:hint="default" w:ascii="FangSong_GB2312" w:hAnsi="FangSong_GB2312" w:eastAsia="FangSong_GB2312"/>
                <w:sz w:val="32"/>
              </w:rPr>
            </w:pPr>
            <w:r>
              <w:rPr>
                <w:rFonts w:hint="default" w:ascii="FangSong_GB2312" w:hAnsi="FangSong_GB2312" w:eastAsia="FangSong_GB2312"/>
                <w:sz w:val="32"/>
              </w:rPr>
              <w:t>（五）建立、健全卫生保健制度，开展丰富多</w:t>
            </w:r>
            <w:r>
              <w:rPr>
                <w:rFonts w:hint="eastAsia" w:ascii="FangSong_GB2312" w:hAnsi="FangSong_GB2312" w:eastAsia="FangSong_GB2312"/>
                <w:sz w:val="32"/>
                <w:lang w:val="en-US" w:eastAsia="zh-CN"/>
              </w:rPr>
              <w:t>彩</w:t>
            </w:r>
            <w:bookmarkStart w:id="0" w:name="_GoBack"/>
            <w:bookmarkEnd w:id="0"/>
            <w:r>
              <w:rPr>
                <w:rFonts w:hint="default" w:ascii="FangSong_GB2312" w:hAnsi="FangSong_GB2312" w:eastAsia="FangSong_GB2312"/>
                <w:sz w:val="32"/>
              </w:rPr>
              <w:t>的文娱活动，活跃师幼生活；强化安全意识，保护师幼身心健康。</w:t>
            </w:r>
          </w:p>
          <w:p>
            <w:pPr>
              <w:spacing w:beforeLines="0" w:afterLines="0" w:line="555" w:lineRule="exact"/>
              <w:ind w:firstLine="640"/>
              <w:rPr>
                <w:rFonts w:hint="default" w:ascii="FangSong_GB2312" w:hAnsi="FangSong_GB2312" w:eastAsia="FangSong_GB2312"/>
                <w:sz w:val="32"/>
              </w:rPr>
            </w:pPr>
            <w:r>
              <w:rPr>
                <w:rFonts w:hint="default" w:ascii="FangSong_GB2312" w:hAnsi="FangSong_GB2312" w:eastAsia="FangSong_GB2312"/>
                <w:sz w:val="32"/>
              </w:rPr>
              <w:t>（六）根据国有资产管理规定管理幼儿园财产；对财政拨款、事业收入、根据财经制度和有关规定统筹安排、合理使用。</w:t>
            </w:r>
          </w:p>
          <w:p>
            <w:pPr>
              <w:spacing w:beforeLines="0" w:afterLines="0" w:line="555" w:lineRule="exact"/>
              <w:ind w:firstLine="640"/>
              <w:rPr>
                <w:rFonts w:hint="eastAsia" w:ascii="FangSong_GB2312" w:hAnsi="FangSong_GB2312" w:eastAsia="FangSong_GB2312"/>
                <w:sz w:val="32"/>
                <w:lang w:eastAsia="zh-CN"/>
              </w:rPr>
            </w:pPr>
            <w:r>
              <w:rPr>
                <w:rFonts w:hint="default" w:ascii="FangSong_GB2312" w:hAnsi="FangSong_GB2312" w:eastAsia="FangSong_GB2312"/>
                <w:sz w:val="32"/>
              </w:rPr>
              <w:t>（七）按照国家规定和幼儿园制度，决定对教职工进行工作考核、奖惩和职务晋升</w:t>
            </w:r>
            <w:r>
              <w:rPr>
                <w:rFonts w:hint="eastAsia" w:ascii="FangSong_GB2312" w:hAnsi="FangSong_GB2312" w:eastAsia="FangSong_GB2312"/>
                <w:sz w:val="32"/>
                <w:lang w:eastAsia="zh-CN"/>
              </w:rPr>
              <w:t>。</w:t>
            </w:r>
          </w:p>
          <w:p>
            <w:pPr>
              <w:spacing w:beforeLines="0" w:afterLines="0" w:line="555" w:lineRule="exact"/>
              <w:rPr>
                <w:rFonts w:hint="eastAsia" w:ascii="FangSong_GB2312" w:hAnsi="FangSong_GB2312" w:eastAsia="FangSong_GB2312"/>
                <w:sz w:val="32"/>
              </w:rPr>
            </w:pPr>
            <w:r>
              <w:rPr>
                <w:rFonts w:hint="default" w:ascii="黑体" w:hAnsi="黑体" w:eastAsia="黑体"/>
                <w:sz w:val="32"/>
              </w:rPr>
              <w:t>　　二、单位基本情况</w:t>
            </w:r>
          </w:p>
          <w:p>
            <w:pPr>
              <w:spacing w:beforeLines="0" w:afterLines="0" w:line="555" w:lineRule="exact"/>
              <w:rPr>
                <w:rFonts w:hint="default" w:ascii="FangSong_GB2312" w:hAnsi="FangSong_GB2312" w:eastAsia="FangSong_GB2312"/>
                <w:sz w:val="24"/>
                <w:lang w:val="en-US" w:eastAsia="zh-CN"/>
              </w:rPr>
            </w:pPr>
            <w:r>
              <w:rPr>
                <w:rFonts w:hint="eastAsia" w:ascii="FangSong_GB2312" w:hAnsi="FangSong_GB2312" w:eastAsia="FangSong_GB2312"/>
                <w:sz w:val="32"/>
              </w:rPr>
              <w:t>　　厦门市翔安教育集团东方新城幼儿园</w:t>
            </w:r>
            <w:r>
              <w:rPr>
                <w:rFonts w:hint="eastAsia" w:ascii="FangSong_GB2312" w:hAnsi="FangSong_GB2312" w:eastAsia="FangSong_GB2312"/>
                <w:sz w:val="32"/>
                <w:szCs w:val="24"/>
              </w:rPr>
              <w:t>内设</w:t>
            </w:r>
            <w:r>
              <w:rPr>
                <w:rFonts w:hint="eastAsia" w:ascii="FangSong_GB2312" w:hAnsi="FangSong_GB2312" w:eastAsia="FangSong_GB2312"/>
                <w:color w:val="auto"/>
                <w:sz w:val="32"/>
                <w:szCs w:val="24"/>
                <w:lang w:val="en-US" w:eastAsia="zh-CN"/>
              </w:rPr>
              <w:t>5</w:t>
            </w:r>
            <w:r>
              <w:rPr>
                <w:rFonts w:hint="eastAsia" w:ascii="FangSong_GB2312" w:hAnsi="FangSong_GB2312" w:eastAsia="FangSong_GB2312"/>
                <w:sz w:val="32"/>
                <w:szCs w:val="24"/>
              </w:rPr>
              <w:t>个科室，包括</w:t>
            </w:r>
            <w:r>
              <w:rPr>
                <w:rFonts w:hint="eastAsia" w:ascii="FangSong_GB2312" w:hAnsi="FangSong_GB2312" w:eastAsia="FangSong_GB2312"/>
                <w:sz w:val="24"/>
                <w:szCs w:val="24"/>
              </w:rPr>
              <w:t>：</w:t>
            </w:r>
            <w:r>
              <w:rPr>
                <w:rFonts w:hint="eastAsia" w:ascii="FangSong_GB2312" w:hAnsi="FangSong_GB2312" w:eastAsia="FangSong_GB2312"/>
                <w:sz w:val="32"/>
                <w:szCs w:val="24"/>
                <w:lang w:eastAsia="zh-CN"/>
              </w:rPr>
              <w:t>园长室、办公室、总务部门、保教部门、安保部门、德育部门</w:t>
            </w:r>
            <w:r>
              <w:rPr>
                <w:rFonts w:hint="eastAsia" w:ascii="FangSong_GB2312" w:hAnsi="FangSong_GB2312" w:eastAsia="FangSong_GB2312"/>
                <w:sz w:val="32"/>
                <w:lang w:val="en-US" w:eastAsia="zh-CN"/>
              </w:rPr>
              <w:t>。人员编制数53人，在职人数53人。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rPr>
            </w:pPr>
            <w:r>
              <w:rPr>
                <w:rFonts w:hint="default" w:ascii="黑体" w:hAnsi="黑体" w:eastAsia="黑体"/>
                <w:sz w:val="32"/>
              </w:rPr>
              <w:t>　　三、单位主要工作任务</w:t>
            </w:r>
          </w:p>
          <w:p>
            <w:pPr>
              <w:spacing w:beforeLines="0" w:afterLines="0" w:line="555" w:lineRule="exact"/>
              <w:rPr>
                <w:rFonts w:hint="eastAsia" w:ascii="FangSong_GB2312" w:hAnsi="FangSong_GB2312" w:eastAsia="FangSong_GB2312"/>
                <w:color w:val="auto"/>
                <w:sz w:val="32"/>
              </w:rPr>
            </w:pPr>
            <w:r>
              <w:rPr>
                <w:rFonts w:hint="eastAsia" w:ascii="FangSong_GB2312" w:hAnsi="FangSong_GB2312" w:eastAsia="FangSong_GB2312"/>
                <w:sz w:val="32"/>
              </w:rPr>
              <w:t>　</w:t>
            </w:r>
            <w:r>
              <w:rPr>
                <w:rFonts w:hint="eastAsia" w:ascii="FangSong_GB2312" w:hAnsi="FangSong_GB2312" w:eastAsia="FangSong_GB2312"/>
                <w:color w:val="auto"/>
                <w:sz w:val="32"/>
              </w:rPr>
              <w:t>　2024年，厦门市翔安教育集团东方新城幼儿园主要任务是：</w:t>
            </w:r>
            <w:r>
              <w:rPr>
                <w:rFonts w:hint="eastAsia" w:ascii="FangSong_GB2312" w:hAnsi="FangSong_GB2312" w:eastAsia="FangSong_GB2312"/>
                <w:color w:val="auto"/>
                <w:sz w:val="32"/>
                <w:lang w:val="en-US" w:eastAsia="zh-CN"/>
              </w:rPr>
              <w:t>深入贯彻《纲要》精神，以《3-6岁儿童学习与发展指南》为抓手，加强理论学习，不断更新教育观念，转变行为教育。为幼儿提供平安、健康、丰富的生活和活动环境，满足幼儿多方面进展的需要，尊重幼儿身心发展的特点和规律，关注个别差异，坚持保教并重，使幼儿身心健康成长，促进体智德美全面发展</w:t>
            </w:r>
            <w:r>
              <w:rPr>
                <w:rFonts w:hint="eastAsia" w:ascii="FangSong_GB2312" w:hAnsi="FangSong_GB2312" w:eastAsia="FangSong_GB2312"/>
                <w:color w:val="auto"/>
                <w:sz w:val="32"/>
              </w:rPr>
              <w:t>。围绕上述任务，重点抓好以下工作：</w:t>
            </w:r>
          </w:p>
          <w:p>
            <w:pPr>
              <w:spacing w:beforeLines="0" w:afterLines="0" w:line="555" w:lineRule="exact"/>
              <w:rPr>
                <w:rFonts w:hint="eastAsia" w:ascii="FangSong_GB2312" w:hAnsi="FangSong_GB2312" w:eastAsia="FangSong_GB2312"/>
                <w:color w:val="auto"/>
                <w:sz w:val="32"/>
              </w:rPr>
            </w:pPr>
            <w:r>
              <w:rPr>
                <w:rFonts w:hint="eastAsia" w:ascii="FangSong_GB2312" w:hAnsi="FangSong_GB2312" w:eastAsia="FangSong_GB2312"/>
                <w:color w:val="auto"/>
                <w:sz w:val="32"/>
              </w:rPr>
              <w:t>　　（一）</w:t>
            </w:r>
            <w:r>
              <w:rPr>
                <w:rFonts w:hint="eastAsia" w:ascii="FangSong_GB2312" w:hAnsi="FangSong_GB2312" w:eastAsia="FangSong_GB2312"/>
                <w:color w:val="auto"/>
                <w:sz w:val="32"/>
                <w:lang w:val="en-US" w:eastAsia="zh-CN"/>
              </w:rPr>
              <w:t>加强幼儿园的规范化管理类，各岗位职责、各项制度进一步细化，为幼儿园可持续发展打好基础</w:t>
            </w:r>
            <w:r>
              <w:rPr>
                <w:rFonts w:hint="eastAsia" w:ascii="FangSong_GB2312" w:hAnsi="FangSong_GB2312" w:eastAsia="FangSong_GB2312"/>
                <w:color w:val="auto"/>
                <w:sz w:val="32"/>
              </w:rPr>
              <w:t>。</w:t>
            </w:r>
          </w:p>
          <w:p>
            <w:pPr>
              <w:spacing w:beforeLines="0" w:afterLines="0" w:line="555" w:lineRule="exact"/>
              <w:rPr>
                <w:rFonts w:hint="eastAsia" w:ascii="FangSong_GB2312" w:hAnsi="FangSong_GB2312" w:eastAsia="FangSong_GB2312"/>
                <w:color w:val="auto"/>
                <w:sz w:val="32"/>
              </w:rPr>
            </w:pPr>
            <w:r>
              <w:rPr>
                <w:rFonts w:hint="eastAsia" w:ascii="FangSong_GB2312" w:hAnsi="FangSong_GB2312" w:eastAsia="FangSong_GB2312"/>
                <w:color w:val="auto"/>
                <w:sz w:val="32"/>
              </w:rPr>
              <w:t>　　（二）</w:t>
            </w:r>
            <w:r>
              <w:rPr>
                <w:rFonts w:hint="eastAsia" w:ascii="FangSong_GB2312" w:hAnsi="FangSong_GB2312" w:eastAsia="FangSong_GB2312"/>
                <w:color w:val="auto"/>
                <w:sz w:val="32"/>
                <w:lang w:val="en-US" w:eastAsia="zh-CN"/>
              </w:rPr>
              <w:t>加强幼儿园教师队伍的建设，通过专业化培训等形式专业化水平</w:t>
            </w:r>
            <w:r>
              <w:rPr>
                <w:rFonts w:hint="eastAsia" w:ascii="FangSong_GB2312" w:hAnsi="FangSong_GB2312" w:eastAsia="FangSong_GB2312"/>
                <w:color w:val="auto"/>
                <w:sz w:val="32"/>
              </w:rPr>
              <w:t>。</w:t>
            </w:r>
          </w:p>
          <w:p>
            <w:pPr>
              <w:spacing w:beforeLines="0" w:afterLines="0" w:line="555" w:lineRule="exact"/>
              <w:ind w:firstLine="640"/>
              <w:rPr>
                <w:rFonts w:hint="eastAsia" w:ascii="FangSong_GB2312" w:hAnsi="FangSong_GB2312" w:eastAsia="FangSong_GB2312"/>
                <w:color w:val="auto"/>
                <w:sz w:val="32"/>
              </w:rPr>
            </w:pPr>
            <w:r>
              <w:rPr>
                <w:rFonts w:hint="eastAsia" w:ascii="FangSong_GB2312" w:hAnsi="FangSong_GB2312" w:eastAsia="FangSong_GB2312"/>
                <w:color w:val="auto"/>
                <w:sz w:val="32"/>
              </w:rPr>
              <w:t>（三）</w:t>
            </w:r>
            <w:r>
              <w:rPr>
                <w:rFonts w:hint="eastAsia" w:ascii="FangSong_GB2312" w:hAnsi="FangSong_GB2312" w:eastAsia="FangSong_GB2312"/>
                <w:color w:val="auto"/>
                <w:sz w:val="32"/>
                <w:lang w:val="en-US" w:eastAsia="zh-CN"/>
              </w:rPr>
              <w:t>提高保教服务质量</w:t>
            </w:r>
            <w:r>
              <w:rPr>
                <w:rFonts w:hint="eastAsia" w:ascii="FangSong_GB2312" w:hAnsi="FangSong_GB2312" w:eastAsia="FangSong_GB2312"/>
                <w:color w:val="auto"/>
                <w:sz w:val="32"/>
              </w:rPr>
              <w:t>。</w:t>
            </w:r>
          </w:p>
          <w:p>
            <w:pPr>
              <w:spacing w:beforeLines="0" w:afterLines="0" w:line="555" w:lineRule="exact"/>
              <w:ind w:firstLine="640"/>
              <w:rPr>
                <w:rFonts w:hint="eastAsia" w:ascii="FangSong_GB2312" w:hAnsi="FangSong_GB2312" w:eastAsia="FangSong_GB2312"/>
                <w:color w:val="auto"/>
                <w:sz w:val="32"/>
                <w:lang w:val="en-US" w:eastAsia="zh-CN"/>
              </w:rPr>
            </w:pPr>
            <w:r>
              <w:rPr>
                <w:rFonts w:hint="eastAsia" w:ascii="FangSong_GB2312" w:hAnsi="FangSong_GB2312" w:eastAsia="FangSong_GB2312"/>
                <w:color w:val="auto"/>
                <w:sz w:val="32"/>
                <w:lang w:eastAsia="zh-CN"/>
              </w:rPr>
              <w:t>（</w:t>
            </w:r>
            <w:r>
              <w:rPr>
                <w:rFonts w:hint="eastAsia" w:ascii="FangSong_GB2312" w:hAnsi="FangSong_GB2312" w:eastAsia="FangSong_GB2312"/>
                <w:color w:val="auto"/>
                <w:sz w:val="32"/>
                <w:lang w:val="en-US" w:eastAsia="zh-CN"/>
              </w:rPr>
              <w:t>四</w:t>
            </w:r>
            <w:r>
              <w:rPr>
                <w:rFonts w:hint="eastAsia" w:ascii="FangSong_GB2312" w:hAnsi="FangSong_GB2312" w:eastAsia="FangSong_GB2312"/>
                <w:color w:val="auto"/>
                <w:sz w:val="32"/>
                <w:lang w:eastAsia="zh-CN"/>
              </w:rPr>
              <w:t>）</w:t>
            </w:r>
            <w:r>
              <w:rPr>
                <w:rFonts w:hint="eastAsia" w:ascii="FangSong_GB2312" w:hAnsi="FangSong_GB2312" w:eastAsia="FangSong_GB2312"/>
                <w:color w:val="auto"/>
                <w:sz w:val="32"/>
                <w:lang w:val="en-US" w:eastAsia="zh-CN"/>
              </w:rPr>
              <w:t>以“爱岗敬业、创造奉献”的园风精神为核心。</w:t>
            </w:r>
          </w:p>
          <w:p>
            <w:pPr>
              <w:spacing w:beforeLines="0" w:afterLines="0" w:line="555" w:lineRule="exact"/>
              <w:ind w:firstLine="640"/>
              <w:rPr>
                <w:rFonts w:hint="eastAsia" w:ascii="FangSong_GB2312" w:hAnsi="FangSong_GB2312" w:eastAsia="FangSong_GB2312"/>
                <w:color w:val="auto"/>
                <w:sz w:val="32"/>
                <w:lang w:val="en-US" w:eastAsia="zh-CN"/>
              </w:rPr>
            </w:pPr>
            <w:r>
              <w:rPr>
                <w:rFonts w:hint="eastAsia" w:ascii="FangSong_GB2312" w:hAnsi="FangSong_GB2312" w:eastAsia="FangSong_GB2312"/>
                <w:color w:val="auto"/>
                <w:sz w:val="32"/>
                <w:lang w:val="en-US" w:eastAsia="zh-CN"/>
              </w:rPr>
              <w:t>（五）完善后勤保健管理，提高服务质量，确保幼儿健康进展。</w:t>
            </w:r>
          </w:p>
          <w:p>
            <w:pPr>
              <w:spacing w:beforeLines="0" w:afterLines="0" w:line="555" w:lineRule="exact"/>
              <w:ind w:firstLine="640"/>
              <w:rPr>
                <w:rFonts w:hint="default" w:ascii="FangSong_GB2312" w:hAnsi="FangSong_GB2312" w:eastAsia="FangSong_GB2312"/>
                <w:sz w:val="32"/>
                <w:lang w:val="en-US" w:eastAsia="zh-CN"/>
              </w:rPr>
            </w:pPr>
            <w:r>
              <w:rPr>
                <w:rFonts w:hint="eastAsia" w:ascii="FangSong_GB2312" w:hAnsi="FangSong_GB2312" w:eastAsia="FangSong_GB2312"/>
                <w:color w:val="auto"/>
                <w:sz w:val="32"/>
                <w:lang w:val="en-US" w:eastAsia="zh-CN"/>
              </w:rPr>
              <w:t>（六）家园共育，召开期初和期末家长会，继续家访和家长开放日活动的开展，继续办好家长学校，提高家长的育儿水平。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rPr>
            </w:pPr>
            <w:r>
              <w:rPr>
                <w:rFonts w:hint="default" w:ascii="黑体" w:hAnsi="黑体" w:eastAsia="黑体"/>
                <w:sz w:val="32"/>
              </w:rPr>
              <w:t>第二部分  2024年单位预算说明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1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rPr>
            </w:pPr>
            <w:r>
              <w:rPr>
                <w:rFonts w:hint="default" w:ascii="黑体" w:hAnsi="黑体" w:eastAsia="黑体"/>
                <w:sz w:val="32"/>
              </w:rPr>
              <w:t>　　一、2024年单位预算收支总体情况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根据预算管理的有关规定，单位的全部收入和支出均纳入部门预算管理。</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（一）厦门市翔安教育集团东方新城幼儿园2024年收入预算为654.81万元，比2023年预算数增加408.21万元，增长165.54％，具体情况如下：</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1.财政拨款收入654.81万元，其中一般公共预算拨款收入654.81万元，政府性基金拨款收入0.00万元，国有资本经营预算拨款收入0.00万元；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2.财政专户管理资金收入0.00万元；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3.事业收入0.00万元；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4.事业单位经营收入0.00万元；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5.上级补助收入0.00万元；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6.附属单位上缴收入0.00万元；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7.其他收入0.00万元；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8.上年结转结余0.00万元。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（二）厦门市翔安教育集团东方新城幼儿园2024年支出预算为654.81万元（不含市对区转移支付项目），比2023年预算数增加408.21万元，增长165.54％，具体情况如下：</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1.财政拨款基本支出654.81万元，其中，人员支出14.54万元，公用支出640.27万元；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2.财政拨款项目支出0.00万元；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3.非财政拨款支出0.00万元。</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（三）厦门市翔安教育集团东方新城幼儿园2024年区对镇（街）转移支付项目预算为</w:t>
            </w:r>
            <w:r>
              <w:rPr>
                <w:rFonts w:hint="eastAsia" w:ascii="FangSong_GB2312" w:hAnsi="FangSong_GB2312" w:eastAsia="FangSong_GB2312"/>
                <w:sz w:val="32"/>
                <w:lang w:val="en-US" w:eastAsia="zh-CN"/>
              </w:rPr>
              <w:t>0.00</w:t>
            </w:r>
            <w:r>
              <w:rPr>
                <w:rFonts w:hint="eastAsia" w:ascii="FangSong_GB2312" w:hAnsi="FangSong_GB2312" w:eastAsia="FangSong_GB2312"/>
                <w:sz w:val="32"/>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rPr>
            </w:pPr>
            <w:r>
              <w:rPr>
                <w:rFonts w:hint="default" w:ascii="黑体" w:hAnsi="黑体" w:eastAsia="黑体"/>
                <w:sz w:val="32"/>
              </w:rPr>
              <w:t>　　二、一般公共预算财政拨款支出预算情况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w:t>
            </w:r>
            <w:r>
              <w:rPr>
                <w:rFonts w:hint="eastAsia" w:ascii="FangSong_GB2312" w:hAnsi="FangSong_GB2312" w:eastAsia="FangSong_GB2312"/>
                <w:color w:val="auto"/>
                <w:sz w:val="32"/>
              </w:rPr>
              <w:t>　2024年度一般公共预算支出654.81万元（不含市对区转移支付项目），比2023年预算数增加408.21万元，增长165.54%，主要是由于</w:t>
            </w:r>
            <w:r>
              <w:rPr>
                <w:rFonts w:hint="eastAsia" w:ascii="FangSong_GB2312" w:hAnsi="FangSong_GB2312" w:eastAsia="FangSong_GB2312"/>
                <w:color w:val="auto"/>
                <w:sz w:val="32"/>
                <w:lang w:val="en-US" w:eastAsia="zh-CN"/>
              </w:rPr>
              <w:t>预算方式改变，集团幼儿园的公用经费不再由集团统一预算，而是自行预算安排</w:t>
            </w:r>
            <w:r>
              <w:rPr>
                <w:rFonts w:hint="eastAsia" w:ascii="FangSong_GB2312" w:hAnsi="FangSong_GB2312" w:eastAsia="FangSong_GB2312"/>
                <w:color w:val="auto"/>
                <w:sz w:val="32"/>
              </w:rPr>
              <w:t>。支出项目(按项级科目分类统计)包括：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rPr>
                <w:rFonts w:hint="eastAsia" w:ascii="FangSong_GB2312" w:hAnsi="FangSong_GB2312" w:eastAsia="FangSong_GB2312"/>
                <w:sz w:val="32"/>
              </w:rPr>
            </w:pPr>
            <w:r>
              <w:rPr>
                <w:rFonts w:hint="eastAsia" w:ascii="FangSong_GB2312" w:hAnsi="FangSong_GB2312" w:eastAsia="FangSong_GB2312"/>
                <w:sz w:val="32"/>
              </w:rPr>
              <w:t>　　1.教育支出（类）普通教育（款）学前教育（项）654.81万元。主要用于</w:t>
            </w:r>
            <w:r>
              <w:rPr>
                <w:rFonts w:hint="eastAsia" w:ascii="FangSong_GB2312" w:hAnsi="FangSong_GB2312" w:eastAsia="FangSong_GB2312"/>
                <w:sz w:val="32"/>
                <w:lang w:eastAsia="zh-CN"/>
              </w:rPr>
              <w:t>人员经费和公用经费</w:t>
            </w:r>
            <w:r>
              <w:rPr>
                <w:rFonts w:hint="eastAsia" w:ascii="FangSong_GB2312" w:hAnsi="FangSong_GB2312" w:eastAsia="FangSong_GB2312"/>
                <w:sz w:val="32"/>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rPr>
            </w:pPr>
            <w:r>
              <w:rPr>
                <w:rFonts w:hint="default" w:ascii="黑体" w:hAnsi="黑体" w:eastAsia="黑体"/>
                <w:sz w:val="32"/>
              </w:rPr>
              <w:t>　　三、政府性基金预算财政拨款支出情况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2024年度政府性基金支出0.00万元（不含市对区转移支付项目），比2023年预算数增加0.00万元，增长0%</w:t>
            </w:r>
            <w:r>
              <w:rPr>
                <w:rFonts w:hint="eastAsia" w:ascii="FangSong_GB2312" w:hAnsi="FangSong_GB2312" w:eastAsia="FangSong_GB2312"/>
                <w:sz w:val="32"/>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sz w:val="32"/>
              </w:rPr>
            </w:pPr>
            <w:r>
              <w:rPr>
                <w:rFonts w:hint="default" w:ascii="黑体" w:hAnsi="黑体" w:eastAsia="黑体"/>
                <w:sz w:val="32"/>
              </w:rPr>
              <w:t>　　四、“三公”经费财政拨款预算情况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厦门市翔安教育集团东方新城幼儿园单位2024年“三公”经费财政拨款预算数为0.00万元，其中：因公出国（境）经费0.00万元，公务接待费0.00万元，公务用车购置及运行费0.00万元。具体情况如下：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0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FangSong_GB2312" w:hAnsi="FangSong_GB2312" w:eastAsia="FangSong_GB2312"/>
                <w:color w:val="auto"/>
                <w:sz w:val="32"/>
              </w:rPr>
            </w:pPr>
            <w:r>
              <w:rPr>
                <w:rFonts w:hint="eastAsia" w:ascii="KaiTi_GB2312" w:hAnsi="KaiTi_GB2312" w:eastAsia="KaiTi_GB2312"/>
                <w:sz w:val="32"/>
              </w:rPr>
              <w:t>　</w:t>
            </w:r>
            <w:r>
              <w:rPr>
                <w:rFonts w:hint="eastAsia" w:ascii="KaiTi_GB2312" w:hAnsi="KaiTi_GB2312" w:eastAsia="KaiTi_GB2312"/>
                <w:color w:val="auto"/>
                <w:sz w:val="32"/>
              </w:rPr>
              <w:t>　（一）因公出国（境）经费</w:t>
            </w:r>
          </w:p>
          <w:p>
            <w:pPr>
              <w:spacing w:beforeLines="0" w:afterLines="0" w:line="555" w:lineRule="exact"/>
              <w:ind w:firstLine="640"/>
              <w:rPr>
                <w:rFonts w:hint="eastAsia" w:ascii="FangSong_GB2312" w:hAnsi="FangSong_GB2312" w:eastAsia="FangSong_GB2312"/>
                <w:color w:val="auto"/>
                <w:sz w:val="32"/>
                <w:lang w:val="en-US" w:eastAsia="zh-CN"/>
              </w:rPr>
            </w:pPr>
            <w:r>
              <w:rPr>
                <w:rFonts w:hint="eastAsia" w:ascii="FangSong_GB2312" w:hAnsi="FangSong_GB2312" w:eastAsia="FangSong_GB2312"/>
                <w:color w:val="auto"/>
                <w:sz w:val="32"/>
              </w:rPr>
              <w:t>2024年预算安排0.00万元。主要用于</w:t>
            </w:r>
            <w:r>
              <w:rPr>
                <w:rFonts w:hint="eastAsia" w:ascii="FangSong_GB2312" w:hAnsi="FangSong_GB2312" w:eastAsia="FangSong_GB2312"/>
                <w:color w:val="auto"/>
                <w:sz w:val="32"/>
                <w:lang w:val="en-US" w:eastAsia="zh-CN"/>
              </w:rPr>
              <w:t>单位因公出国（境）的各项费用</w:t>
            </w:r>
            <w:r>
              <w:rPr>
                <w:rFonts w:hint="eastAsia" w:ascii="FangSong_GB2312" w:hAnsi="FangSong_GB2312" w:eastAsia="FangSong_GB2312"/>
                <w:color w:val="auto"/>
                <w:sz w:val="32"/>
              </w:rPr>
              <w:t>。与上年预算相比，</w:t>
            </w:r>
            <w:r>
              <w:rPr>
                <w:rFonts w:hint="eastAsia" w:ascii="FangSong_GB2312" w:hAnsi="FangSong_GB2312" w:eastAsia="FangSong_GB2312"/>
                <w:color w:val="auto"/>
                <w:sz w:val="32"/>
                <w:lang w:val="en-US" w:eastAsia="zh-CN"/>
              </w:rPr>
              <w:t>并无变化。</w:t>
            </w:r>
          </w:p>
          <w:p>
            <w:pPr>
              <w:spacing w:beforeLines="0" w:afterLines="0" w:line="555" w:lineRule="exact"/>
              <w:ind w:firstLine="640"/>
              <w:rPr>
                <w:rFonts w:hint="eastAsia" w:ascii="FangSong_GB2312" w:hAnsi="FangSong_GB2312" w:eastAsia="FangSong_GB2312"/>
                <w:color w:val="auto"/>
                <w:sz w:val="32"/>
              </w:rPr>
            </w:pPr>
            <w:r>
              <w:rPr>
                <w:rFonts w:hint="eastAsia" w:ascii="KaiTi_GB2312" w:hAnsi="KaiTi_GB2312" w:eastAsia="KaiTi_GB2312"/>
                <w:color w:val="auto"/>
                <w:sz w:val="32"/>
              </w:rPr>
              <w:t>（二）公务接待费</w:t>
            </w:r>
          </w:p>
          <w:p>
            <w:pPr>
              <w:spacing w:beforeLines="0" w:afterLines="0" w:line="555" w:lineRule="exact"/>
              <w:ind w:firstLine="640"/>
              <w:rPr>
                <w:rFonts w:hint="eastAsia" w:ascii="FangSong_GB2312" w:hAnsi="FangSong_GB2312" w:eastAsia="FangSong_GB2312"/>
                <w:color w:val="auto"/>
                <w:sz w:val="32"/>
              </w:rPr>
            </w:pPr>
            <w:r>
              <w:rPr>
                <w:rFonts w:hint="eastAsia" w:ascii="FangSong_GB2312" w:hAnsi="FangSong_GB2312" w:eastAsia="FangSong_GB2312"/>
                <w:color w:val="auto"/>
                <w:sz w:val="32"/>
              </w:rPr>
              <w:t>2024年预算安排0.00万元。主要用于</w:t>
            </w:r>
            <w:r>
              <w:rPr>
                <w:rFonts w:hint="eastAsia" w:ascii="FangSong_GB2312" w:hAnsi="FangSong_GB2312" w:eastAsia="FangSong_GB2312"/>
                <w:color w:val="auto"/>
                <w:sz w:val="32"/>
                <w:lang w:val="en-US" w:eastAsia="zh-CN"/>
              </w:rPr>
              <w:t>单位按规定开支的各类公务接待支出</w:t>
            </w:r>
            <w:r>
              <w:rPr>
                <w:rFonts w:hint="eastAsia" w:ascii="FangSong_GB2312" w:hAnsi="FangSong_GB2312" w:eastAsia="FangSong_GB2312"/>
                <w:color w:val="auto"/>
                <w:sz w:val="32"/>
              </w:rPr>
              <w:t>。与上年预算相比，</w:t>
            </w:r>
            <w:r>
              <w:rPr>
                <w:rFonts w:hint="eastAsia" w:ascii="FangSong_GB2312" w:hAnsi="FangSong_GB2312" w:eastAsia="FangSong_GB2312"/>
                <w:color w:val="auto"/>
                <w:sz w:val="32"/>
                <w:lang w:val="en-US" w:eastAsia="zh-CN"/>
              </w:rPr>
              <w:t>并无变化</w:t>
            </w:r>
            <w:r>
              <w:rPr>
                <w:rFonts w:hint="eastAsia" w:ascii="FangSong_GB2312" w:hAnsi="FangSong_GB2312" w:eastAsia="FangSong_GB2312"/>
                <w:color w:val="auto"/>
                <w:sz w:val="32"/>
              </w:rPr>
              <w:t>。</w:t>
            </w:r>
          </w:p>
          <w:p>
            <w:pPr>
              <w:spacing w:beforeLines="0" w:afterLines="0" w:line="555" w:lineRule="exact"/>
              <w:ind w:firstLine="640"/>
              <w:rPr>
                <w:rFonts w:hint="eastAsia" w:ascii="FangSong_GB2312" w:hAnsi="FangSong_GB2312" w:eastAsia="FangSong_GB2312"/>
                <w:color w:val="auto"/>
                <w:sz w:val="32"/>
              </w:rPr>
            </w:pPr>
            <w:r>
              <w:rPr>
                <w:rFonts w:hint="eastAsia" w:ascii="KaiTi_GB2312" w:hAnsi="KaiTi_GB2312" w:eastAsia="KaiTi_GB2312"/>
                <w:color w:val="auto"/>
                <w:sz w:val="32"/>
              </w:rPr>
              <w:t>（三）公务用车购置及运行费</w:t>
            </w:r>
          </w:p>
          <w:p>
            <w:pPr>
              <w:spacing w:beforeLines="0" w:afterLines="0" w:line="555" w:lineRule="exact"/>
              <w:rPr>
                <w:rFonts w:hint="eastAsia" w:ascii="FangSong_GB2312" w:hAnsi="FangSong_GB2312" w:eastAsia="FangSong_GB2312"/>
                <w:sz w:val="32"/>
                <w:lang w:val="en-US" w:eastAsia="zh-CN"/>
              </w:rPr>
            </w:pPr>
            <w:r>
              <w:rPr>
                <w:rFonts w:hint="eastAsia" w:ascii="FangSong_GB2312" w:hAnsi="FangSong_GB2312" w:eastAsia="FangSong_GB2312"/>
                <w:sz w:val="32"/>
              </w:rPr>
              <w:t>　　2024年预算安排0.00万元，其中：公务用车运行费0.00万元，主要用于公务用车燃油、维修、保险等方面支出；公务用车购置费0.00万元。与上年预算相比，</w:t>
            </w:r>
            <w:r>
              <w:rPr>
                <w:rFonts w:hint="eastAsia" w:ascii="FangSong_GB2312" w:hAnsi="FangSong_GB2312" w:eastAsia="FangSong_GB2312"/>
                <w:sz w:val="32"/>
                <w:lang w:val="en-US" w:eastAsia="zh-CN"/>
              </w:rPr>
              <w:t>并无变化。</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6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default" w:ascii="华文仿宋" w:hAnsi="华文仿宋" w:eastAsia="华文仿宋"/>
                <w:sz w:val="32"/>
              </w:rPr>
            </w:pPr>
            <w:r>
              <w:rPr>
                <w:rFonts w:hint="default" w:ascii="黑体" w:hAnsi="黑体" w:eastAsia="黑体"/>
                <w:sz w:val="32"/>
              </w:rPr>
              <w:t>　　五、其他重要事项的情况说明</w:t>
            </w:r>
          </w:p>
          <w:p>
            <w:pPr>
              <w:spacing w:beforeLines="0" w:afterLines="0" w:line="555" w:lineRule="exact"/>
              <w:rPr>
                <w:rFonts w:hint="eastAsia" w:ascii="FangSong_GB2312" w:hAnsi="FangSong_GB2312" w:eastAsia="FangSong_GB2312"/>
                <w:sz w:val="32"/>
              </w:rPr>
            </w:pPr>
            <w:r>
              <w:rPr>
                <w:rFonts w:hint="default" w:ascii="华文仿宋" w:hAnsi="华文仿宋" w:eastAsia="华文仿宋"/>
                <w:sz w:val="32"/>
              </w:rPr>
              <w:t>　　</w:t>
            </w:r>
            <w:r>
              <w:rPr>
                <w:rFonts w:hint="eastAsia" w:ascii="KaiTi_GB2312" w:hAnsi="KaiTi_GB2312" w:eastAsia="KaiTi_GB2312"/>
                <w:sz w:val="32"/>
              </w:rPr>
              <w:t>（一）机关运行经费</w:t>
            </w:r>
          </w:p>
          <w:p>
            <w:pPr>
              <w:spacing w:beforeLines="0" w:afterLines="0" w:line="555" w:lineRule="exact"/>
              <w:rPr>
                <w:rFonts w:hint="default" w:ascii="华文仿宋" w:hAnsi="华文仿宋" w:eastAsia="华文仿宋"/>
                <w:color w:val="auto"/>
                <w:sz w:val="32"/>
              </w:rPr>
            </w:pPr>
            <w:r>
              <w:rPr>
                <w:rFonts w:hint="eastAsia" w:ascii="FangSong_GB2312" w:hAnsi="FangSong_GB2312" w:eastAsia="FangSong_GB2312"/>
                <w:sz w:val="32"/>
              </w:rPr>
              <w:t>　</w:t>
            </w:r>
            <w:r>
              <w:rPr>
                <w:rFonts w:hint="eastAsia" w:ascii="FangSong_GB2312" w:hAnsi="FangSong_GB2312" w:eastAsia="FangSong_GB2312"/>
                <w:color w:val="auto"/>
                <w:sz w:val="32"/>
              </w:rPr>
              <w:t>　2024年厦门市翔安教育集团东方新城幼儿园的机关运行经费财政拨款预算</w:t>
            </w:r>
            <w:r>
              <w:rPr>
                <w:rFonts w:hint="eastAsia" w:ascii="FangSong_GB2312" w:hAnsi="FangSong_GB2312" w:eastAsia="FangSong_GB2312"/>
                <w:sz w:val="32"/>
              </w:rPr>
              <w:t>0.00</w:t>
            </w:r>
            <w:r>
              <w:rPr>
                <w:rFonts w:hint="eastAsia" w:ascii="FangSong_GB2312" w:hAnsi="FangSong_GB2312" w:eastAsia="FangSong_GB2312"/>
                <w:color w:val="auto"/>
                <w:sz w:val="32"/>
              </w:rPr>
              <w:t>万元，比2023年预算</w:t>
            </w:r>
            <w:r>
              <w:rPr>
                <w:rFonts w:hint="eastAsia" w:ascii="FangSong_GB2312" w:hAnsi="FangSong_GB2312" w:eastAsia="FangSong_GB2312"/>
                <w:color w:val="auto"/>
                <w:sz w:val="32"/>
                <w:lang w:eastAsia="zh-CN"/>
              </w:rPr>
              <w:t>增加（</w:t>
            </w:r>
            <w:r>
              <w:rPr>
                <w:rFonts w:hint="eastAsia" w:ascii="FangSong_GB2312" w:hAnsi="FangSong_GB2312" w:eastAsia="FangSong_GB2312"/>
                <w:color w:val="auto"/>
                <w:sz w:val="32"/>
              </w:rPr>
              <w:t>减少</w:t>
            </w:r>
            <w:r>
              <w:rPr>
                <w:rFonts w:hint="eastAsia" w:ascii="FangSong_GB2312" w:hAnsi="FangSong_GB2312" w:eastAsia="FangSong_GB2312"/>
                <w:color w:val="auto"/>
                <w:sz w:val="32"/>
                <w:lang w:eastAsia="zh-CN"/>
              </w:rPr>
              <w:t>）</w:t>
            </w:r>
            <w:r>
              <w:rPr>
                <w:rFonts w:hint="eastAsia" w:ascii="FangSong_GB2312" w:hAnsi="FangSong_GB2312" w:eastAsia="FangSong_GB2312"/>
                <w:sz w:val="32"/>
              </w:rPr>
              <w:t>0.00</w:t>
            </w:r>
            <w:r>
              <w:rPr>
                <w:rFonts w:hint="eastAsia" w:ascii="FangSong_GB2312" w:hAnsi="FangSong_GB2312" w:eastAsia="FangSong_GB2312"/>
                <w:color w:val="auto"/>
                <w:sz w:val="32"/>
              </w:rPr>
              <w:t>万元，</w:t>
            </w:r>
            <w:r>
              <w:rPr>
                <w:rFonts w:hint="eastAsia" w:ascii="FangSong_GB2312" w:hAnsi="FangSong_GB2312" w:eastAsia="FangSong_GB2312"/>
                <w:color w:val="auto"/>
                <w:sz w:val="32"/>
                <w:lang w:eastAsia="zh-CN"/>
              </w:rPr>
              <w:t>增长（</w:t>
            </w:r>
            <w:r>
              <w:rPr>
                <w:rFonts w:hint="eastAsia" w:ascii="FangSong_GB2312" w:hAnsi="FangSong_GB2312" w:eastAsia="FangSong_GB2312"/>
                <w:color w:val="auto"/>
                <w:sz w:val="32"/>
              </w:rPr>
              <w:t>下降</w:t>
            </w:r>
            <w:r>
              <w:rPr>
                <w:rFonts w:hint="eastAsia" w:ascii="FangSong_GB2312" w:hAnsi="FangSong_GB2312" w:eastAsia="FangSong_GB2312"/>
                <w:color w:val="auto"/>
                <w:sz w:val="32"/>
                <w:lang w:eastAsia="zh-CN"/>
              </w:rPr>
              <w:t>）</w:t>
            </w:r>
            <w:r>
              <w:rPr>
                <w:rFonts w:hint="eastAsia" w:ascii="FangSong_GB2312" w:hAnsi="FangSong_GB2312" w:eastAsia="FangSong_GB2312"/>
                <w:color w:val="auto"/>
                <w:sz w:val="32"/>
                <w:lang w:val="en-US" w:eastAsia="zh-CN"/>
              </w:rPr>
              <w:t>0</w:t>
            </w:r>
            <w:r>
              <w:rPr>
                <w:rFonts w:hint="eastAsia" w:ascii="FangSong_GB2312" w:hAnsi="FangSong_GB2312" w:eastAsia="FangSong_GB2312"/>
                <w:color w:val="auto"/>
                <w:sz w:val="32"/>
              </w:rPr>
              <w:t>%。</w:t>
            </w:r>
          </w:p>
          <w:p>
            <w:pPr>
              <w:spacing w:beforeLines="0" w:afterLines="0" w:line="555" w:lineRule="exact"/>
              <w:rPr>
                <w:rFonts w:hint="eastAsia" w:ascii="FangSong_GB2312" w:hAnsi="FangSong_GB2312" w:eastAsia="FangSong_GB2312"/>
                <w:sz w:val="32"/>
              </w:rPr>
            </w:pPr>
            <w:r>
              <w:rPr>
                <w:rFonts w:hint="default" w:ascii="华文仿宋" w:hAnsi="华文仿宋" w:eastAsia="华文仿宋"/>
                <w:sz w:val="32"/>
              </w:rPr>
              <w:t>　　</w:t>
            </w:r>
            <w:r>
              <w:rPr>
                <w:rFonts w:hint="eastAsia" w:ascii="KaiTi_GB2312" w:hAnsi="KaiTi_GB2312" w:eastAsia="KaiTi_GB2312"/>
                <w:sz w:val="32"/>
              </w:rPr>
              <w:t>（二）政府采购情况</w:t>
            </w:r>
          </w:p>
          <w:p>
            <w:pPr>
              <w:spacing w:beforeLines="0" w:afterLines="0" w:line="555" w:lineRule="exact"/>
              <w:rPr>
                <w:rFonts w:hint="eastAsia" w:ascii="KaiTi_GB2312" w:hAnsi="KaiTi_GB2312" w:eastAsia="KaiTi_GB2312"/>
                <w:sz w:val="32"/>
              </w:rPr>
            </w:pPr>
            <w:r>
              <w:rPr>
                <w:rFonts w:hint="eastAsia" w:ascii="FangSong_GB2312" w:hAnsi="FangSong_GB2312" w:eastAsia="FangSong_GB2312"/>
                <w:sz w:val="32"/>
              </w:rPr>
              <w:t>　　2024年厦门市翔安教育集团东方新城幼儿园政府采购预算总额2.26万元，其中：政府采购货物预算2.26万元，政府采购工程预算0.00万元，政府采购服务预算0.00万元。</w:t>
            </w:r>
          </w:p>
          <w:p>
            <w:pPr>
              <w:spacing w:beforeLines="0" w:afterLines="0" w:line="555" w:lineRule="exact"/>
              <w:rPr>
                <w:rFonts w:hint="eastAsia" w:ascii="FangSong_GB2312" w:hAnsi="FangSong_GB2312" w:eastAsia="FangSong_GB2312"/>
                <w:sz w:val="32"/>
              </w:rPr>
            </w:pPr>
            <w:r>
              <w:rPr>
                <w:rFonts w:hint="eastAsia" w:ascii="KaiTi_GB2312" w:hAnsi="KaiTi_GB2312" w:eastAsia="KaiTi_GB2312"/>
                <w:sz w:val="32"/>
              </w:rPr>
              <w:t>　　（三）国有资产占有使用情况</w:t>
            </w:r>
          </w:p>
          <w:p>
            <w:pPr>
              <w:spacing w:beforeLines="0" w:afterLines="0" w:line="555" w:lineRule="exact"/>
              <w:ind w:firstLine="640"/>
              <w:rPr>
                <w:rFonts w:hint="eastAsia" w:ascii="KaiTi_GB2312" w:hAnsi="KaiTi_GB2312" w:eastAsia="KaiTi_GB2312"/>
                <w:sz w:val="32"/>
              </w:rPr>
            </w:pPr>
            <w:r>
              <w:rPr>
                <w:rFonts w:hint="eastAsia" w:ascii="FangSong_GB2312" w:hAnsi="FangSong_GB2312" w:eastAsia="FangSong_GB2312"/>
                <w:color w:val="auto"/>
                <w:sz w:val="32"/>
              </w:rPr>
              <w:t>截至2023年12月31日，厦门市翔安教育集团东方新城幼儿园所属各预算单位共有车辆</w:t>
            </w:r>
            <w:r>
              <w:rPr>
                <w:rFonts w:hint="eastAsia" w:ascii="FangSong_GB2312" w:hAnsi="FangSong_GB2312" w:eastAsia="FangSong_GB2312"/>
                <w:color w:val="auto"/>
                <w:sz w:val="32"/>
                <w:lang w:val="en-US" w:eastAsia="zh-CN"/>
              </w:rPr>
              <w:t>0</w:t>
            </w:r>
            <w:r>
              <w:rPr>
                <w:rFonts w:hint="eastAsia" w:ascii="FangSong_GB2312" w:hAnsi="FangSong_GB2312" w:eastAsia="FangSong_GB2312"/>
                <w:color w:val="auto"/>
                <w:sz w:val="32"/>
              </w:rPr>
              <w:t>辆，单位价值100万元以上设备</w:t>
            </w:r>
            <w:r>
              <w:rPr>
                <w:rFonts w:hint="eastAsia" w:ascii="FangSong_GB2312" w:hAnsi="FangSong_GB2312" w:eastAsia="FangSong_GB2312"/>
                <w:color w:val="auto"/>
                <w:sz w:val="32"/>
                <w:lang w:val="en-US" w:eastAsia="zh-CN"/>
              </w:rPr>
              <w:t>0</w:t>
            </w:r>
            <w:r>
              <w:rPr>
                <w:rFonts w:hint="eastAsia" w:ascii="FangSong_GB2312" w:hAnsi="FangSong_GB2312" w:eastAsia="FangSong_GB2312"/>
                <w:sz w:val="32"/>
              </w:rPr>
              <w:t>台（套）。</w:t>
            </w:r>
            <w:r>
              <w:rPr>
                <w:rFonts w:hint="eastAsia" w:ascii="KaiTi_GB2312" w:hAnsi="KaiTi_GB2312" w:eastAsia="KaiTi_GB2312"/>
                <w:sz w:val="32"/>
              </w:rPr>
              <w:t>　　</w:t>
            </w:r>
          </w:p>
          <w:p>
            <w:pPr>
              <w:spacing w:beforeLines="0" w:afterLines="0" w:line="555" w:lineRule="exact"/>
              <w:ind w:firstLine="640"/>
              <w:rPr>
                <w:rFonts w:hint="eastAsia" w:ascii="FangSong_GB2312" w:hAnsi="FangSong_GB2312" w:eastAsia="FangSong_GB2312"/>
                <w:sz w:val="32"/>
              </w:rPr>
            </w:pPr>
            <w:r>
              <w:rPr>
                <w:rFonts w:hint="eastAsia" w:ascii="KaiTi_GB2312" w:hAnsi="KaiTi_GB2312" w:eastAsia="KaiTi_GB2312"/>
                <w:sz w:val="32"/>
              </w:rPr>
              <w:t>（四）绩效目标设置情况</w:t>
            </w:r>
          </w:p>
          <w:p>
            <w:pPr>
              <w:spacing w:beforeLines="0" w:afterLines="0" w:line="555" w:lineRule="exact"/>
              <w:rPr>
                <w:rFonts w:hint="eastAsia" w:ascii="FangSong_GB2312" w:hAnsi="FangSong_GB2312" w:eastAsia="FangSong_GB2312"/>
                <w:sz w:val="32"/>
              </w:rPr>
            </w:pPr>
            <w:r>
              <w:rPr>
                <w:rFonts w:hint="eastAsia" w:ascii="FangSong_GB2312" w:hAnsi="FangSong_GB2312" w:eastAsia="FangSong_GB2312"/>
                <w:sz w:val="32"/>
              </w:rPr>
              <w:t>　　厦门市翔安教育集团东方新城幼儿园2024年实行绩效目标管理的二级项目0个，涉及一般公共预算拨款0.00万元、政府性基金预算拨款0.00万元。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rPr>
            </w:pPr>
            <w:r>
              <w:rPr>
                <w:rFonts w:hint="default" w:ascii="黑体" w:hAnsi="黑体" w:eastAsia="黑体"/>
                <w:sz w:val="32"/>
              </w:rPr>
              <w:t>第三部分  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rPr>
                <w:rFonts w:hint="eastAsia" w:ascii="KaiTi_GB2312" w:hAnsi="KaiTi_GB2312" w:eastAsia="KaiTi_GB2312"/>
                <w:sz w:val="32"/>
              </w:rPr>
            </w:pPr>
            <w:r>
              <w:rPr>
                <w:rFonts w:hint="eastAsia" w:ascii="KaiTi_GB2312" w:hAnsi="KaiTi_GB2312" w:eastAsia="KaiTi_GB2312"/>
                <w:sz w:val="32"/>
              </w:rPr>
              <w:t>　　一、基本支出</w:t>
            </w:r>
            <w:r>
              <w:rPr>
                <w:rFonts w:hint="eastAsia" w:ascii="楷体" w:hAnsi="楷体" w:eastAsia="楷体"/>
                <w:sz w:val="32"/>
              </w:rPr>
              <w:t>：</w:t>
            </w:r>
            <w:r>
              <w:rPr>
                <w:rFonts w:hint="eastAsia" w:ascii="FangSong_GB2312" w:hAnsi="FangSong_GB2312" w:eastAsia="FangSong_GB2312"/>
                <w:sz w:val="32"/>
              </w:rPr>
              <w:t>指为保障机构正常运转、完成日常工作任务而发生的人员支出、对个人和家庭的补助支出和公用支出。</w:t>
            </w:r>
          </w:p>
          <w:p>
            <w:pPr>
              <w:spacing w:beforeLines="0" w:afterLines="0" w:line="555" w:lineRule="exact"/>
              <w:rPr>
                <w:rFonts w:hint="eastAsia" w:ascii="KaiTi_GB2312" w:hAnsi="KaiTi_GB2312" w:eastAsia="KaiTi_GB2312"/>
                <w:sz w:val="32"/>
              </w:rPr>
            </w:pPr>
            <w:r>
              <w:rPr>
                <w:rFonts w:hint="eastAsia" w:ascii="KaiTi_GB2312" w:hAnsi="KaiTi_GB2312" w:eastAsia="KaiTi_GB2312"/>
                <w:sz w:val="32"/>
              </w:rPr>
              <w:t>　　二、项目支出：</w:t>
            </w:r>
            <w:r>
              <w:rPr>
                <w:rFonts w:hint="eastAsia" w:ascii="FangSong_GB2312" w:hAnsi="FangSong_GB2312" w:eastAsia="FangSong_GB2312"/>
                <w:sz w:val="32"/>
              </w:rPr>
              <w:t>指在基本支出之外为完成特定行政任务和事业发展目标所发生的支出，包括部门专项、发展经费和基建项目。</w:t>
            </w:r>
          </w:p>
          <w:p>
            <w:pPr>
              <w:spacing w:beforeLines="0" w:afterLines="0" w:line="555" w:lineRule="exact"/>
              <w:rPr>
                <w:rFonts w:hint="eastAsia" w:ascii="KaiTi_GB2312" w:hAnsi="KaiTi_GB2312" w:eastAsia="KaiTi_GB2312"/>
                <w:sz w:val="32"/>
              </w:rPr>
            </w:pPr>
            <w:r>
              <w:rPr>
                <w:rFonts w:hint="eastAsia" w:ascii="KaiTi_GB2312" w:hAnsi="KaiTi_GB2312" w:eastAsia="KaiTi_GB2312"/>
                <w:sz w:val="32"/>
              </w:rPr>
              <w:t>　　三、“三公”经费：</w:t>
            </w:r>
            <w:r>
              <w:rPr>
                <w:rFonts w:hint="eastAsia" w:ascii="FangSong_GB2312" w:hAnsi="FangSong_GB2312" w:eastAsia="FangSong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rPr>
                <w:rFonts w:hint="eastAsia" w:ascii="KaiTi_GB2312" w:hAnsi="KaiTi_GB2312" w:eastAsia="KaiTi_GB2312"/>
                <w:sz w:val="32"/>
              </w:rPr>
            </w:pPr>
            <w:r>
              <w:rPr>
                <w:rFonts w:hint="eastAsia" w:ascii="KaiTi_GB2312" w:hAnsi="KaiTi_GB2312" w:eastAsia="KaiTi_GB2312"/>
                <w:sz w:val="32"/>
              </w:rPr>
              <w:t>　　四、机关运行经费：</w:t>
            </w:r>
            <w:r>
              <w:rPr>
                <w:rFonts w:hint="eastAsia" w:ascii="FangSong_GB2312" w:hAnsi="FangSong_GB2312" w:eastAsia="FangSong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rPr>
                <w:rFonts w:hint="eastAsia" w:ascii="FangSong_GB2312" w:hAnsi="FangSong_GB2312" w:eastAsia="FangSong_GB2312"/>
                <w:sz w:val="32"/>
              </w:rPr>
            </w:pPr>
            <w:r>
              <w:rPr>
                <w:rFonts w:hint="eastAsia" w:ascii="KaiTi_GB2312" w:hAnsi="KaiTi_GB2312" w:eastAsia="KaiTi_GB2312"/>
                <w:sz w:val="32"/>
              </w:rPr>
              <w:t>　　五、其他名词解释。</w:t>
            </w:r>
            <w:r>
              <w:rPr>
                <w:rFonts w:hint="eastAsia" w:ascii="FangSong_GB2312" w:hAnsi="FangSong_GB2312" w:eastAsia="FangSong_GB2312"/>
                <w:sz w:val="32"/>
              </w:rPr>
              <w:t>由各单位根据实际情况予以增加说明。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55" w:lineRule="exact"/>
              <w:ind w:left="20"/>
              <w:jc w:val="center"/>
              <w:rPr>
                <w:rFonts w:hint="default" w:ascii="黑体" w:hAnsi="黑体" w:eastAsia="黑体"/>
                <w:sz w:val="32"/>
              </w:rPr>
            </w:pPr>
            <w:r>
              <w:rPr>
                <w:rFonts w:hint="default" w:ascii="黑体" w:hAnsi="黑体" w:eastAsia="黑体"/>
                <w:sz w:val="32"/>
              </w:rPr>
              <w:t>第四部分  2024年单位预算附表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2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一、部门收支预算总体情况表</w:t>
            </w:r>
          </w:p>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二、部门收入预算总体情况表</w:t>
            </w:r>
          </w:p>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三、部门支出预算总体情况表</w:t>
            </w:r>
          </w:p>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四、财政拨款收支预算总体情况表</w:t>
            </w:r>
          </w:p>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五、一般公共预算支出情况表</w:t>
            </w:r>
          </w:p>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六、一般公共预算基本支出情况表（经济分类款级科目）</w:t>
            </w:r>
          </w:p>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七、一般公共预算“三公”经费支出情况表</w:t>
            </w:r>
          </w:p>
          <w:p>
            <w:pPr>
              <w:spacing w:beforeLines="0" w:afterLines="0" w:line="540" w:lineRule="exact"/>
              <w:rPr>
                <w:rFonts w:hint="eastAsia" w:ascii="FangSong_GB2312" w:hAnsi="FangSong_GB2312" w:eastAsia="FangSong_GB2312"/>
                <w:sz w:val="32"/>
              </w:rPr>
            </w:pPr>
            <w:r>
              <w:rPr>
                <w:rFonts w:hint="eastAsia" w:ascii="FangSong_GB2312" w:hAnsi="FangSong_GB2312" w:eastAsia="FangSong_GB2312"/>
                <w:sz w:val="32"/>
              </w:rPr>
              <w:t>　　八、政府性基金预算支出情况表</w:t>
            </w:r>
          </w:p>
          <w:p>
            <w:pPr>
              <w:spacing w:beforeLines="0" w:afterLines="0" w:line="540" w:lineRule="exact"/>
              <w:rPr>
                <w:rFonts w:hint="default" w:ascii="仿宋" w:hAnsi="仿宋" w:eastAsia="仿宋"/>
                <w:sz w:val="32"/>
              </w:rPr>
            </w:pPr>
            <w:r>
              <w:rPr>
                <w:rFonts w:hint="eastAsia" w:ascii="FangSong_GB2312" w:hAnsi="FangSong_GB2312" w:eastAsia="FangSong_GB2312"/>
                <w:sz w:val="32"/>
              </w:rPr>
              <w:t>　　九、区对镇（街）转移支付项目支出预算表</w:t>
            </w:r>
          </w:p>
          <w:p>
            <w:pPr>
              <w:spacing w:beforeLines="0" w:afterLines="0" w:line="540" w:lineRule="exact"/>
              <w:rPr>
                <w:rFonts w:hint="default" w:ascii="黑体" w:hAnsi="黑体" w:eastAsia="黑体"/>
                <w:sz w:val="32"/>
              </w:rPr>
            </w:pPr>
            <w:r>
              <w:rPr>
                <w:rFonts w:hint="default" w:ascii="黑体" w:hAnsi="黑体" w:eastAsia="黑体"/>
                <w:sz w:val="32"/>
              </w:rPr>
              <w:t>　　（以上没有数据的表格也要列出空表并作出说明）</w:t>
            </w:r>
          </w:p>
        </w:tc>
      </w:tr>
    </w:tbl>
    <w:p/>
    <w:sectPr>
      <w:footerReference r:id="rId4"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FangSong_GB2312">
    <w:altName w:val="仿宋_GB2312"/>
    <w:panose1 w:val="00000000000000000000"/>
    <w:charset w:val="86"/>
    <w:family w:val="roman"/>
    <w:pitch w:val="default"/>
    <w:sig w:usb0="00000000" w:usb1="00000000" w:usb2="00000000" w:usb3="00000000" w:csb0="00040000" w:csb1="00000000"/>
  </w:font>
  <w:font w:name="KaiTi_GB2312">
    <w:altName w:val="楷体"/>
    <w:panose1 w:val="00000000000000000000"/>
    <w:charset w:val="86"/>
    <w:family w:val="roman"/>
    <w:pitch w:val="default"/>
    <w:sig w:usb0="00000000" w:usb1="00000000" w:usb2="00000000" w:usb3="00000000" w:csb0="00040000" w:csb1="00000000"/>
  </w:font>
  <w:font w:name="华文仿宋">
    <w:panose1 w:val="02010600040101010101"/>
    <w:charset w:val="86"/>
    <w:family w:val="roman"/>
    <w:pitch w:val="default"/>
    <w:sig w:usb0="00000287" w:usb1="080F0000" w:usb2="00000000" w:usb3="00000000" w:csb0="0004009F" w:csb1="DFD7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W w:w="94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rPr>
          </w:pPr>
        </w:p>
      </w:tc>
      <w:tc>
        <w:tcPr>
          <w:tcW w:w="3163" w:type="dxa"/>
          <w:tcBorders>
            <w:top w:val="nil"/>
            <w:left w:val="nil"/>
            <w:bottom w:val="nil"/>
            <w:right w:val="nil"/>
            <w:tl2br w:val="nil"/>
            <w:tr2bl w:val="nil"/>
          </w:tcBorders>
          <w:shd w:val="clear" w:color="auto" w:fill="FFFFFF"/>
          <w:noWrap w:val="0"/>
          <w:vAlign w:val="top"/>
        </w:tcPr>
        <w:p>
          <w:pPr>
            <w:spacing w:beforeLines="0" w:afterLines="0" w:line="320" w:lineRule="atLeast"/>
            <w:jc w:val="center"/>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PAGE</w:instrText>
          </w:r>
          <w:r>
            <w:rPr>
              <w:rFonts w:hint="eastAsia" w:ascii="宋体" w:hAnsi="宋体" w:eastAsia="宋体"/>
              <w:sz w:val="18"/>
            </w:rPr>
            <w:fldChar w:fldCharType="separate"/>
          </w:r>
          <w:r>
            <w:rPr>
              <w:rFonts w:hint="eastAsia" w:ascii="宋体" w:hAnsi="宋体" w:eastAsia="宋体"/>
              <w:sz w:val="18"/>
            </w:rPr>
            <w:t xml:space="preserve"> </w:t>
          </w:r>
          <w:r>
            <w:rPr>
              <w:rFonts w:hint="eastAsia" w:ascii="宋体" w:hAnsi="宋体" w:eastAsia="宋体"/>
              <w:sz w:val="18"/>
            </w:rPr>
            <w:fldChar w:fldCharType="end"/>
          </w:r>
          <w:r>
            <w:rPr>
              <w:rFonts w:hint="eastAsia" w:ascii="宋体" w:hAnsi="宋体" w:eastAsia="宋体"/>
              <w:sz w:val="18"/>
            </w:rPr>
            <w:t xml:space="preserve"> </w:t>
          </w:r>
        </w:p>
      </w:tc>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rPr>
          </w:pPr>
        </w:p>
      </w:tc>
    </w:tr>
  </w:tb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MDkzNDEwYzAxNjlmOTI0ZTdkMjI2MzljYWJjYWMifQ=="/>
  </w:docVars>
  <w:rsids>
    <w:rsidRoot w:val="00172A27"/>
    <w:rsid w:val="0A6B437F"/>
    <w:rsid w:val="0EFC0FD1"/>
    <w:rsid w:val="22407EF5"/>
    <w:rsid w:val="2AF7450A"/>
    <w:rsid w:val="48126137"/>
    <w:rsid w:val="68140D0C"/>
    <w:rsid w:val="778731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iPriority="99" w:semiHidden="0" w:name="Normal"/>
    <w:lsdException w:qFormat="1" w:uiPriority="99" w:semiHidden="0" w:name="heading 1"/>
    <w:lsdException w:qFormat="1" w:uiPriority="99" w:semiHidden="0" w:name="heading 2"/>
    <w:lsdException w:qFormat="1" w:uiPriority="99"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spacing w:beforeLines="0" w:afterLines="0"/>
    </w:pPr>
    <w:rPr>
      <w:rFonts w:hint="default" w:ascii="Arial" w:hAnsi="Arial" w:eastAsia="宋体" w:cs="Times New Roman"/>
      <w:color w:val="000000"/>
      <w:sz w:val="24"/>
    </w:rPr>
  </w:style>
  <w:style w:type="paragraph" w:styleId="2">
    <w:name w:val="heading 1"/>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3">
    <w:name w:val="heading 2"/>
    <w:next w:val="1"/>
    <w:unhideWhenUsed/>
    <w:qFormat/>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paragraph" w:styleId="4">
    <w:name w:val="heading 3"/>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26"/>
    </w:rPr>
  </w:style>
  <w:style w:type="character" w:default="1" w:styleId="6">
    <w:name w:val="Default Paragraph Font"/>
    <w:semiHidden/>
    <w:unhideWhenUsed/>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3109</Words>
  <Characters>3377</Characters>
  <TotalTime>2</TotalTime>
  <ScaleCrop>false</ScaleCrop>
  <LinksUpToDate>false</LinksUpToDate>
  <CharactersWithSpaces>3560</CharactersWithSpaces>
  <Application>WPS Office_11.8.2.12089_F1E327BC-269C-435d-A152-05C5408002CA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2019-10-04T02:02:00Z</dcterms:created>
  <dc:creator>DELL</dc:creator>
  <cp:lastModifiedBy>蔡小猫</cp:lastModifiedBy>
  <dcterms:modified xsi:type="dcterms:W3CDTF">2024-08-21T03:25:17Z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B48544D2AB9F47499506BD587CC9BE0C_12</vt:lpwstr>
  </property>
</Properties>
</file>