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sz w:val="2"/>
        </w:rPr>
      </w:pPr>
    </w:p>
    <w:tbl>
      <w:tblPr>
        <w:tblStyle w:val="5"/>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4"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25" w:lineRule="exact"/>
              <w:jc w:val="center"/>
              <w:rPr>
                <w:rFonts w:hint="eastAsia" w:ascii="黑体" w:hAnsi="黑体" w:eastAsia="黑体"/>
                <w:sz w:val="30"/>
              </w:rPr>
            </w:pPr>
            <w:r>
              <w:rPr>
                <w:rFonts w:hint="eastAsia" w:ascii="方正小标宋简体" w:hAnsi="方正小标宋简体" w:eastAsia="方正小标宋简体"/>
                <w:sz w:val="44"/>
              </w:rPr>
              <w:t>2024年度厦门市翔安中学单位预算</w:t>
            </w:r>
          </w:p>
          <w:p>
            <w:pPr>
              <w:spacing w:line="525" w:lineRule="exact"/>
              <w:jc w:val="center"/>
              <w:rPr>
                <w:rFonts w:hint="eastAsia" w:ascii="黑体" w:hAnsi="黑体" w:eastAsia="黑体"/>
                <w:sz w:val="30"/>
              </w:rPr>
            </w:pPr>
          </w:p>
          <w:p>
            <w:pPr>
              <w:spacing w:line="525" w:lineRule="exact"/>
              <w:jc w:val="center"/>
              <w:rPr>
                <w:rFonts w:hint="eastAsia" w:ascii="黑体" w:hAnsi="黑体" w:eastAsia="黑体"/>
                <w:sz w:val="32"/>
              </w:rPr>
            </w:pPr>
            <w:r>
              <w:rPr>
                <w:rFonts w:hint="eastAsia" w:ascii="黑体" w:hAnsi="黑体" w:eastAsia="黑体"/>
                <w:sz w:val="32"/>
              </w:rPr>
              <w:t>目　　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仿宋" w:hAnsi="仿宋" w:eastAsia="仿宋"/>
                <w:sz w:val="32"/>
              </w:rPr>
            </w:pPr>
            <w:r>
              <w:rPr>
                <w:rFonts w:hint="eastAsia" w:ascii="黑体" w:hAnsi="黑体" w:eastAsia="黑体"/>
                <w:sz w:val="32"/>
              </w:rPr>
              <w:t>　　第一部分   单位概况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一、单位主要职责</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二、单位基本情况</w:t>
            </w:r>
          </w:p>
          <w:p>
            <w:pPr>
              <w:spacing w:line="555" w:lineRule="exact"/>
              <w:rPr>
                <w:rFonts w:hint="eastAsia" w:ascii="黑体" w:hAnsi="黑体" w:eastAsia="黑体"/>
                <w:sz w:val="32"/>
              </w:rPr>
            </w:pPr>
            <w:r>
              <w:rPr>
                <w:rFonts w:hint="eastAsia" w:ascii="FangSong_GB2312" w:hAnsi="FangSong_GB2312" w:eastAsia="FangSong_GB2312"/>
                <w:sz w:val="32"/>
              </w:rPr>
              <w:t>　　三、单位主要工作任务</w:t>
            </w:r>
          </w:p>
          <w:p>
            <w:pPr>
              <w:spacing w:line="555" w:lineRule="exact"/>
              <w:rPr>
                <w:rFonts w:hint="eastAsia" w:ascii="黑体" w:hAnsi="黑体" w:eastAsia="黑体"/>
                <w:sz w:val="32"/>
              </w:rPr>
            </w:pPr>
            <w:r>
              <w:rPr>
                <w:rFonts w:hint="eastAsia" w:ascii="黑体" w:hAnsi="黑体" w:eastAsia="黑体"/>
                <w:sz w:val="32"/>
              </w:rPr>
              <w:t>　　第二部分   2024年单位预算说明</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一、2024年单位预算收支总体情况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二、一般公共预算财政拨款支出预算情况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三、政府性基金预算财政拨款支出情况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四、“三公”经费财政拨款预算情况</w:t>
            </w:r>
          </w:p>
          <w:p>
            <w:pPr>
              <w:spacing w:line="555" w:lineRule="exact"/>
              <w:rPr>
                <w:rFonts w:hint="eastAsia" w:ascii="黑体" w:hAnsi="黑体" w:eastAsia="黑体"/>
                <w:sz w:val="32"/>
              </w:rPr>
            </w:pPr>
            <w:r>
              <w:rPr>
                <w:rFonts w:hint="eastAsia" w:ascii="FangSong_GB2312" w:hAnsi="FangSong_GB2312" w:eastAsia="FangSong_GB2312"/>
                <w:sz w:val="32"/>
              </w:rPr>
              <w:t>　　五、其他重要事项的情况说明</w:t>
            </w:r>
          </w:p>
          <w:p>
            <w:pPr>
              <w:spacing w:line="555" w:lineRule="exact"/>
              <w:rPr>
                <w:rFonts w:hint="eastAsia" w:ascii="黑体" w:hAnsi="黑体" w:eastAsia="黑体"/>
                <w:sz w:val="32"/>
              </w:rPr>
            </w:pPr>
            <w:r>
              <w:rPr>
                <w:rFonts w:hint="eastAsia" w:ascii="黑体" w:hAnsi="黑体" w:eastAsia="黑体"/>
                <w:sz w:val="32"/>
              </w:rPr>
              <w:t>　　第三部分   名词解释</w:t>
            </w:r>
          </w:p>
          <w:p>
            <w:pPr>
              <w:spacing w:line="555" w:lineRule="exact"/>
              <w:rPr>
                <w:rFonts w:hint="eastAsia" w:ascii="黑体" w:hAnsi="黑体" w:eastAsia="黑体"/>
                <w:sz w:val="32"/>
              </w:rPr>
            </w:pPr>
            <w:r>
              <w:rPr>
                <w:rFonts w:hint="eastAsia" w:ascii="黑体" w:hAnsi="黑体" w:eastAsia="黑体"/>
                <w:sz w:val="32"/>
              </w:rPr>
              <w:t>　　第四部分   2024年单位预算附表</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一、部门收支预算总体情况表</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二、部门收入预算总体情况表</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三、部门支出预算总体情况表</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四、财政拨款收支预算总体情况表</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五、 一般公共预算支出情况表</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六、一般公共预算基本支出情况表（经济分类款级科目）</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七、一般公共预算“三公”经费支出情况表</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八、政府性基金预算支出情况表</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九、区对镇（街）转移支付支出预算表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jc w:val="center"/>
              <w:rPr>
                <w:rFonts w:hint="eastAsia" w:ascii="黑体" w:hAnsi="黑体" w:eastAsia="黑体"/>
                <w:sz w:val="32"/>
              </w:rPr>
            </w:pPr>
            <w:r>
              <w:rPr>
                <w:rFonts w:hint="eastAsia" w:ascii="黑体" w:hAnsi="黑体" w:eastAsia="黑体"/>
                <w:sz w:val="32"/>
              </w:rPr>
              <w:t>第一部分  单位概况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FangSong_GB2312" w:hAnsi="FangSong_GB2312" w:eastAsia="FangSong_GB2312"/>
                <w:sz w:val="32"/>
              </w:rPr>
            </w:pPr>
            <w:r>
              <w:rPr>
                <w:rFonts w:hint="eastAsia" w:ascii="黑体" w:hAnsi="黑体" w:eastAsia="黑体"/>
                <w:sz w:val="32"/>
              </w:rPr>
              <w:t>　　一、单位主要职责</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厦门市翔安中学的主要职责是：</w:t>
            </w:r>
            <w:r>
              <w:rPr>
                <w:rFonts w:hint="eastAsia" w:ascii="FangSong_GB2312" w:hAnsi="FangSong_GB2312" w:eastAsia="FangSong_GB2312"/>
                <w:sz w:val="32"/>
                <w:lang w:val="en-US" w:eastAsia="zh-CN"/>
              </w:rPr>
              <w:t>实施初中、高中学历教育，促进基础教育发展。初、高中学历教育。</w:t>
            </w:r>
          </w:p>
          <w:p>
            <w:pPr>
              <w:spacing w:line="555" w:lineRule="exact"/>
              <w:rPr>
                <w:rFonts w:hint="eastAsia" w:ascii="FangSong_GB2312" w:hAnsi="FangSong_GB2312" w:eastAsia="FangSong_GB2312"/>
                <w:sz w:val="32"/>
              </w:rPr>
            </w:pPr>
            <w:r>
              <w:rPr>
                <w:rFonts w:hint="eastAsia" w:ascii="黑体" w:hAnsi="黑体" w:eastAsia="黑体"/>
                <w:sz w:val="32"/>
              </w:rPr>
              <w:t>　　二、单位基本情况</w:t>
            </w:r>
          </w:p>
          <w:p>
            <w:pPr>
              <w:spacing w:line="555" w:lineRule="exact"/>
              <w:rPr>
                <w:rFonts w:hint="eastAsia" w:ascii="FangSong_GB2312" w:hAnsi="FangSong_GB2312" w:eastAsia="FangSong_GB2312"/>
                <w:sz w:val="24"/>
              </w:rPr>
            </w:pPr>
            <w:r>
              <w:rPr>
                <w:rFonts w:hint="eastAsia" w:ascii="FangSong_GB2312" w:hAnsi="FangSong_GB2312" w:eastAsia="FangSong_GB2312"/>
                <w:sz w:val="32"/>
              </w:rPr>
              <w:t>　　厦门市翔安中学内设</w:t>
            </w:r>
            <w:r>
              <w:rPr>
                <w:rFonts w:hint="eastAsia" w:ascii="FangSong_GB2312" w:hAnsi="FangSong_GB2312" w:eastAsia="FangSong_GB2312"/>
                <w:sz w:val="32"/>
                <w:lang w:val="en-US" w:eastAsia="zh-CN"/>
              </w:rPr>
              <w:t>5</w:t>
            </w:r>
            <w:r>
              <w:rPr>
                <w:rFonts w:hint="eastAsia" w:ascii="FangSong_GB2312" w:hAnsi="FangSong_GB2312" w:eastAsia="FangSong_GB2312"/>
                <w:sz w:val="32"/>
              </w:rPr>
              <w:t>个处室/科室，包括</w:t>
            </w:r>
            <w:r>
              <w:rPr>
                <w:rFonts w:hint="eastAsia" w:ascii="FangSong_GB2312" w:hAnsi="FangSong_GB2312" w:eastAsia="FangSong_GB2312"/>
                <w:sz w:val="24"/>
              </w:rPr>
              <w:t>：</w:t>
            </w:r>
            <w:r>
              <w:rPr>
                <w:rFonts w:hint="eastAsia" w:ascii="仿宋_GB2312" w:hAnsi="仿宋_GB2312" w:eastAsia="仿宋_GB2312"/>
                <w:sz w:val="32"/>
                <w:lang w:eastAsia="zh-CN"/>
              </w:rPr>
              <w:t>办公室、教务科、总务科、德育科、工会。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FangSong_GB2312" w:hAnsi="FangSong_GB2312" w:eastAsia="FangSong_GB2312"/>
                <w:sz w:val="32"/>
              </w:rPr>
            </w:pPr>
            <w:r>
              <w:rPr>
                <w:rFonts w:hint="eastAsia" w:ascii="黑体" w:hAnsi="黑体" w:eastAsia="黑体"/>
                <w:sz w:val="32"/>
              </w:rPr>
              <w:t>　　三、单位主要工作任务</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2024年，厦门市翔安中学主要任务是：确立并贯彻办学理念，构建校园文化，提升教育教学质量，加强师资队伍建设，以及优化课堂教学与课外活动相结合的教育模式。围绕上述任务，重点抓好以下工作：</w:t>
            </w:r>
          </w:p>
          <w:p>
            <w:pPr>
              <w:spacing w:line="555" w:lineRule="exact"/>
              <w:ind w:firstLine="640" w:firstLineChars="200"/>
              <w:rPr>
                <w:rFonts w:hint="eastAsia" w:ascii="FangSong_GB2312" w:hAnsi="FangSong_GB2312" w:eastAsia="FangSong_GB2312"/>
                <w:sz w:val="32"/>
              </w:rPr>
            </w:pPr>
            <w:r>
              <w:rPr>
                <w:rFonts w:hint="eastAsia" w:ascii="FangSong_GB2312" w:hAnsi="FangSong_GB2312" w:eastAsia="FangSong_GB2312"/>
                <w:sz w:val="32"/>
              </w:rPr>
              <w:t>（一）理念办校，文化治校。推广学校的办学核心理念，如“勇”字为核心的文化凝聚力，并通过吉祥物、特色定位等方式深化师生对学校文化的认同。实施《入校歌》等文化载体，通过日常教育和活动强化学校的文化氛围，提高师生的归属感和荣誉感。</w:t>
            </w:r>
          </w:p>
          <w:p>
            <w:pPr>
              <w:spacing w:line="555" w:lineRule="exact"/>
              <w:ind w:firstLine="640" w:firstLineChars="200"/>
              <w:rPr>
                <w:rFonts w:hint="eastAsia" w:ascii="FangSong_GB2312" w:hAnsi="FangSong_GB2312" w:eastAsia="FangSong_GB2312"/>
                <w:sz w:val="32"/>
              </w:rPr>
            </w:pPr>
            <w:r>
              <w:rPr>
                <w:rFonts w:hint="eastAsia" w:ascii="FangSong_GB2312" w:hAnsi="FangSong_GB2312" w:eastAsia="FangSong_GB2312"/>
                <w:sz w:val="32"/>
              </w:rPr>
              <w:t>（二）造势乘势，落实责任。充分利用学校新办校的优势，举办大型庆祝晚会、高质量论坛等活动，提升学校的社会影响力和知名度。明确各级领导和教师的责任分工，如年段长、分管副校长、科任教师、导师团队和家长的角色定位，形成合力推动学校发展。坚持“五指齐抓”的管理策略，确保各项工作落到实处，避免形式主义和表面文章。</w:t>
            </w:r>
          </w:p>
          <w:p>
            <w:pPr>
              <w:spacing w:line="555" w:lineRule="exact"/>
              <w:ind w:firstLine="640" w:firstLineChars="200"/>
              <w:rPr>
                <w:rFonts w:hint="eastAsia" w:ascii="FangSong_GB2312" w:hAnsi="FangSong_GB2312" w:eastAsia="FangSong_GB2312"/>
                <w:sz w:val="32"/>
              </w:rPr>
            </w:pPr>
            <w:r>
              <w:rPr>
                <w:rFonts w:hint="eastAsia" w:ascii="FangSong_GB2312" w:hAnsi="FangSong_GB2312" w:eastAsia="FangSong_GB2312"/>
                <w:sz w:val="32"/>
              </w:rPr>
              <w:t>（三）师德过硬，以上率下。关注教师的精神状态，采取措施保持教师的工作热情和积极性，如实行“官兵一体，困难我上”的原则。推行“一联一挂两担当”制度，要求行政领导深入教学一线，起到模范带头作用。通过晒听课等方式，提高教学质量，确保行政干部和名优骨干教师在教学中的示范作用。</w:t>
            </w:r>
          </w:p>
          <w:p>
            <w:pPr>
              <w:spacing w:line="555" w:lineRule="exact"/>
              <w:ind w:firstLine="640" w:firstLineChars="200"/>
              <w:rPr>
                <w:rFonts w:hint="eastAsia" w:ascii="FangSong_GB2312" w:hAnsi="FangSong_GB2312" w:eastAsia="FangSong_GB2312"/>
                <w:sz w:val="32"/>
              </w:rPr>
            </w:pPr>
            <w:r>
              <w:rPr>
                <w:rFonts w:hint="eastAsia" w:ascii="FangSong_GB2312" w:hAnsi="FangSong_GB2312" w:eastAsia="FangSong_GB2312"/>
                <w:sz w:val="32"/>
              </w:rPr>
              <w:t>（四）功在课堂，力在课外。推广“动力课堂”的概念，强调课堂内容的实用性、师生互动的积极性以及教学手段的现代化。实施“泥土计划”，为每位教师配备双导师，促进教师专业成长和教学能力的提升。开展多种形式的校本研训和质量分析会议，加强与外部学校的交流合作，提升教学质量。重视潜力生的培养，通过全员德育和家访等方式，激发学生的学习动机，提高整体教育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jc w:val="center"/>
              <w:rPr>
                <w:rFonts w:hint="eastAsia" w:ascii="黑体" w:hAnsi="黑体" w:eastAsia="黑体"/>
                <w:sz w:val="32"/>
              </w:rPr>
            </w:pPr>
            <w:r>
              <w:rPr>
                <w:rFonts w:hint="eastAsia" w:ascii="黑体" w:hAnsi="黑体" w:eastAsia="黑体"/>
                <w:sz w:val="32"/>
              </w:rPr>
              <w:t>第二部分  2024年单位预算说明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4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FangSong_GB2312" w:hAnsi="FangSong_GB2312" w:eastAsia="FangSong_GB2312"/>
                <w:sz w:val="32"/>
              </w:rPr>
            </w:pPr>
            <w:r>
              <w:rPr>
                <w:rFonts w:hint="eastAsia" w:ascii="黑体" w:hAnsi="黑体" w:eastAsia="黑体"/>
                <w:sz w:val="32"/>
              </w:rPr>
              <w:t>　　一、2024年单位预算收支总体情况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根据预算管理的有关规定，单位的全部收入和支出均纳入部门预算管理。</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（一）厦门市翔安中学2024年收入预算为3,093.65万元，比2023年预算数</w:t>
            </w:r>
            <w:r>
              <w:rPr>
                <w:rFonts w:hint="eastAsia" w:ascii="FangSong_GB2312" w:hAnsi="FangSong_GB2312" w:eastAsia="FangSong_GB2312"/>
                <w:sz w:val="32"/>
                <w:lang w:val="en-US" w:eastAsia="zh-CN"/>
              </w:rPr>
              <w:t>0</w:t>
            </w:r>
            <w:r>
              <w:rPr>
                <w:rFonts w:hint="eastAsia" w:ascii="FangSong_GB2312" w:hAnsi="FangSong_GB2312" w:eastAsia="FangSong_GB2312"/>
                <w:sz w:val="32"/>
              </w:rPr>
              <w:t>万元</w:t>
            </w:r>
            <w:r>
              <w:rPr>
                <w:rFonts w:hint="eastAsia" w:ascii="FangSong_GB2312" w:hAnsi="FangSong_GB2312" w:eastAsia="FangSong_GB2312"/>
                <w:sz w:val="32"/>
                <w:lang w:eastAsia="zh-CN"/>
              </w:rPr>
              <w:t>增加</w:t>
            </w:r>
            <w:r>
              <w:rPr>
                <w:rFonts w:hint="eastAsia" w:ascii="FangSong_GB2312" w:hAnsi="FangSong_GB2312" w:eastAsia="FangSong_GB2312"/>
                <w:sz w:val="32"/>
              </w:rPr>
              <w:t>3,093.65万元，具体情况如下：</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1.财政拨款收入3,093.65万元，其中一般公共预算拨款收入3,093.65万元，政府性基金拨款收入0.00万元，国有资本经营预算拨款收入0.00万元；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2.财政专户管理资金收入0.00万元；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3.事业收入0.00万元；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4.事业单位经营收入0.00万元；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5.上级补助收入0.00万元；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6.附属单位上缴收入0.00万元；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7.其他收入0.00万元；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8.上年结转结余0.00万元。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3"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FangSong_GB2312" w:hAnsi="FangSong_GB2312" w:eastAsia="FangSong_GB2312"/>
                <w:sz w:val="32"/>
              </w:rPr>
            </w:pPr>
            <w:r>
              <w:rPr>
                <w:rFonts w:hint="eastAsia" w:ascii="FangSong_GB2312" w:hAnsi="FangSong_GB2312" w:eastAsia="FangSong_GB2312"/>
                <w:sz w:val="32"/>
              </w:rPr>
              <w:t>　　（二）厦门市翔安中学2024年支出预算为3,093.65万元（不含市对区转移支付项目），比2023年预算数</w:t>
            </w:r>
            <w:r>
              <w:rPr>
                <w:rFonts w:hint="eastAsia" w:ascii="FangSong_GB2312" w:hAnsi="FangSong_GB2312" w:eastAsia="FangSong_GB2312"/>
                <w:sz w:val="32"/>
                <w:lang w:val="en-US" w:eastAsia="zh-CN"/>
              </w:rPr>
              <w:t>0</w:t>
            </w:r>
            <w:r>
              <w:rPr>
                <w:rFonts w:hint="eastAsia" w:ascii="FangSong_GB2312" w:hAnsi="FangSong_GB2312" w:eastAsia="FangSong_GB2312"/>
                <w:sz w:val="32"/>
              </w:rPr>
              <w:t>万元</w:t>
            </w:r>
            <w:r>
              <w:rPr>
                <w:rFonts w:hint="eastAsia" w:ascii="FangSong_GB2312" w:hAnsi="FangSong_GB2312" w:eastAsia="FangSong_GB2312"/>
                <w:sz w:val="32"/>
                <w:lang w:eastAsia="zh-CN"/>
              </w:rPr>
              <w:t>增加</w:t>
            </w:r>
            <w:r>
              <w:rPr>
                <w:rFonts w:hint="eastAsia" w:ascii="FangSong_GB2312" w:hAnsi="FangSong_GB2312" w:eastAsia="FangSong_GB2312"/>
                <w:sz w:val="32"/>
              </w:rPr>
              <w:t>3,093.65万元，具体情况如下：</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1.财政拨款基本支出3,093.65万元，其中，人员支出2,383.73万元，公用支出709.93万元；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2.财政拨款项目支出0.00万元；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3.非财政拨款支出0.00万元。</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（三）厦门市翔安中学2024年区对镇（街）转移支付项目预算为</w:t>
            </w:r>
            <w:r>
              <w:rPr>
                <w:rFonts w:hint="eastAsia" w:ascii="FangSong_GB2312" w:hAnsi="FangSong_GB2312" w:eastAsia="FangSong_GB2312"/>
                <w:sz w:val="32"/>
                <w:lang w:val="en-US" w:eastAsia="zh-CN"/>
              </w:rPr>
              <w:t>0.00</w:t>
            </w:r>
            <w:r>
              <w:rPr>
                <w:rFonts w:hint="eastAsia" w:ascii="FangSong_GB2312" w:hAnsi="FangSong_GB2312" w:eastAsia="FangSong_GB2312"/>
                <w:sz w:val="32"/>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FangSong_GB2312" w:hAnsi="FangSong_GB2312" w:eastAsia="FangSong_GB2312"/>
                <w:sz w:val="32"/>
              </w:rPr>
            </w:pPr>
            <w:r>
              <w:rPr>
                <w:rFonts w:hint="eastAsia" w:ascii="黑体" w:hAnsi="黑体" w:eastAsia="黑体"/>
                <w:sz w:val="32"/>
              </w:rPr>
              <w:t>　　二、一般公共预算财政拨款支出预算情况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2024年度一般公共预算支出3,093.65万元（不含市对区转移支付项目），比2023年预算数</w:t>
            </w:r>
            <w:r>
              <w:rPr>
                <w:rFonts w:hint="eastAsia" w:ascii="FangSong_GB2312" w:hAnsi="FangSong_GB2312" w:eastAsia="FangSong_GB2312"/>
                <w:sz w:val="32"/>
                <w:lang w:val="en-US" w:eastAsia="zh-CN"/>
              </w:rPr>
              <w:t>0</w:t>
            </w:r>
            <w:r>
              <w:rPr>
                <w:rFonts w:hint="eastAsia" w:ascii="FangSong_GB2312" w:hAnsi="FangSong_GB2312" w:eastAsia="FangSong_GB2312"/>
                <w:sz w:val="32"/>
              </w:rPr>
              <w:t>万元</w:t>
            </w:r>
            <w:r>
              <w:rPr>
                <w:rFonts w:hint="eastAsia" w:ascii="FangSong_GB2312" w:hAnsi="FangSong_GB2312" w:eastAsia="FangSong_GB2312"/>
                <w:sz w:val="32"/>
                <w:lang w:eastAsia="zh-CN"/>
              </w:rPr>
              <w:t>，增加</w:t>
            </w:r>
            <w:r>
              <w:rPr>
                <w:rFonts w:hint="eastAsia" w:ascii="FangSong_GB2312" w:hAnsi="FangSong_GB2312" w:eastAsia="FangSong_GB2312"/>
                <w:sz w:val="32"/>
              </w:rPr>
              <w:t>3,093.65万元，主要是由于</w:t>
            </w:r>
            <w:r>
              <w:rPr>
                <w:rFonts w:hint="eastAsia" w:ascii="FangSong_GB2312" w:hAnsi="FangSong_GB2312" w:eastAsia="FangSong_GB2312"/>
                <w:sz w:val="32"/>
                <w:lang w:eastAsia="zh-CN"/>
              </w:rPr>
              <w:t>翔安中学为</w:t>
            </w:r>
            <w:r>
              <w:rPr>
                <w:rFonts w:hint="eastAsia" w:ascii="FangSong_GB2312" w:hAnsi="FangSong_GB2312" w:eastAsia="FangSong_GB2312"/>
                <w:sz w:val="32"/>
                <w:lang w:val="en-US" w:eastAsia="zh-CN"/>
              </w:rPr>
              <w:t>2023年9月新开办学校，2023年无预算。</w:t>
            </w:r>
            <w:r>
              <w:rPr>
                <w:rFonts w:hint="eastAsia" w:ascii="FangSong_GB2312" w:hAnsi="FangSong_GB2312" w:eastAsia="FangSong_GB2312"/>
                <w:sz w:val="32"/>
              </w:rPr>
              <w:t>出项目(按项级科目分类统计)包括：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FangSong_GB2312" w:hAnsi="FangSong_GB2312" w:eastAsia="FangSong_GB2312"/>
                <w:sz w:val="32"/>
              </w:rPr>
            </w:pPr>
            <w:r>
              <w:rPr>
                <w:rFonts w:hint="eastAsia" w:ascii="FangSong_GB2312" w:hAnsi="FangSong_GB2312" w:eastAsia="FangSong_GB2312"/>
                <w:sz w:val="32"/>
              </w:rPr>
              <w:t>　　1.教育支出（类）普通教育（款）初中教育（项）638.62万元。主要用</w:t>
            </w:r>
            <w:r>
              <w:rPr>
                <w:rFonts w:hint="eastAsia" w:ascii="FangSong_GB2312" w:hAnsi="FangSong_GB2312" w:eastAsia="FangSong_GB2312"/>
                <w:sz w:val="32"/>
                <w:lang w:eastAsia="zh-CN"/>
              </w:rPr>
              <w:t>于初中教育人员经费和公用经费</w:t>
            </w:r>
            <w:r>
              <w:rPr>
                <w:rFonts w:hint="eastAsia" w:ascii="FangSong_GB2312" w:hAnsi="FangSong_GB2312" w:eastAsia="FangSong_GB2312"/>
                <w:sz w:val="32"/>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FangSong_GB2312" w:hAnsi="FangSong_GB2312" w:eastAsia="FangSong_GB2312"/>
                <w:sz w:val="32"/>
              </w:rPr>
            </w:pPr>
            <w:r>
              <w:rPr>
                <w:rFonts w:hint="eastAsia" w:ascii="FangSong_GB2312" w:hAnsi="FangSong_GB2312" w:eastAsia="FangSong_GB2312"/>
                <w:sz w:val="32"/>
              </w:rPr>
              <w:t>　　2.教育支出（类）普通教育（款）高中教育（项）2,082.68万元。主要用于</w:t>
            </w:r>
            <w:r>
              <w:rPr>
                <w:rFonts w:hint="eastAsia" w:ascii="FangSong_GB2312" w:hAnsi="FangSong_GB2312" w:eastAsia="FangSong_GB2312"/>
                <w:sz w:val="32"/>
                <w:lang w:eastAsia="zh-CN"/>
              </w:rPr>
              <w:t>高中教育教学人员经费和公用经费</w:t>
            </w:r>
            <w:r>
              <w:rPr>
                <w:rFonts w:hint="eastAsia" w:ascii="FangSong_GB2312" w:hAnsi="FangSong_GB2312" w:eastAsia="FangSong_GB2312"/>
                <w:sz w:val="32"/>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FangSong_GB2312" w:hAnsi="FangSong_GB2312" w:eastAsia="FangSong_GB2312"/>
                <w:sz w:val="32"/>
              </w:rPr>
            </w:pPr>
            <w:r>
              <w:rPr>
                <w:rFonts w:hint="eastAsia" w:ascii="FangSong_GB2312" w:hAnsi="FangSong_GB2312" w:eastAsia="FangSong_GB2312"/>
                <w:sz w:val="32"/>
              </w:rPr>
              <w:t>　　3.社会保障和就业支出（类）行政事业单位养老支出（款）机关事业单位基本养老保险缴费支出（项）195.10万元。主要用于单位基本养老保险缴费支出。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FangSong_GB2312" w:hAnsi="FangSong_GB2312" w:eastAsia="FangSong_GB2312"/>
                <w:sz w:val="32"/>
              </w:rPr>
            </w:pPr>
            <w:r>
              <w:rPr>
                <w:rFonts w:hint="eastAsia" w:ascii="FangSong_GB2312" w:hAnsi="FangSong_GB2312" w:eastAsia="FangSong_GB2312"/>
                <w:sz w:val="32"/>
              </w:rPr>
              <w:t>　　4.社会保障和就业支出（类）行政事业单位养老支出（款）机关事业单位职业年金缴费支出（项）97.55万元。主要用于单位职业年金缴费支出。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FangSong_GB2312" w:hAnsi="FangSong_GB2312" w:eastAsia="FangSong_GB2312"/>
                <w:sz w:val="32"/>
              </w:rPr>
            </w:pPr>
            <w:r>
              <w:rPr>
                <w:rFonts w:hint="eastAsia" w:ascii="FangSong_GB2312" w:hAnsi="FangSong_GB2312" w:eastAsia="FangSong_GB2312"/>
                <w:sz w:val="32"/>
              </w:rPr>
              <w:t>　　5.卫生健康支出（类）行政事业单位医疗（款）事业单位医疗（项）52.68万元。主要用于</w:t>
            </w:r>
            <w:r>
              <w:rPr>
                <w:rFonts w:hint="eastAsia" w:ascii="FangSong_GB2312" w:hAnsi="FangSong_GB2312" w:eastAsia="FangSong_GB2312"/>
                <w:sz w:val="32"/>
                <w:lang w:eastAsia="zh-CN"/>
              </w:rPr>
              <w:t>单位医疗保险缴费</w:t>
            </w:r>
            <w:r>
              <w:rPr>
                <w:rFonts w:hint="eastAsia" w:ascii="FangSong_GB2312" w:hAnsi="FangSong_GB2312" w:eastAsia="FangSong_GB2312"/>
                <w:sz w:val="32"/>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FangSong_GB2312" w:hAnsi="FangSong_GB2312" w:eastAsia="FangSong_GB2312"/>
                <w:sz w:val="32"/>
              </w:rPr>
            </w:pPr>
            <w:r>
              <w:rPr>
                <w:rFonts w:hint="eastAsia" w:ascii="FangSong_GB2312" w:hAnsi="FangSong_GB2312" w:eastAsia="FangSong_GB2312"/>
                <w:sz w:val="32"/>
              </w:rPr>
              <w:t>　　6.卫生健康支出（类）行政事业单位医疗（款）其他行政事业单位医疗支出（项）27.02万元。主要用于</w:t>
            </w:r>
            <w:r>
              <w:rPr>
                <w:rFonts w:hint="eastAsia" w:ascii="FangSong_GB2312" w:hAnsi="FangSong_GB2312" w:eastAsia="FangSong_GB2312"/>
                <w:sz w:val="32"/>
                <w:lang w:eastAsia="zh-CN"/>
              </w:rPr>
              <w:t>单位医疗补助</w:t>
            </w:r>
            <w:r>
              <w:rPr>
                <w:rFonts w:hint="eastAsia" w:ascii="FangSong_GB2312" w:hAnsi="FangSong_GB2312" w:eastAsia="FangSong_GB2312"/>
                <w:sz w:val="32"/>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FangSong_GB2312" w:hAnsi="FangSong_GB2312" w:eastAsia="FangSong_GB2312"/>
                <w:sz w:val="32"/>
              </w:rPr>
            </w:pPr>
            <w:r>
              <w:rPr>
                <w:rFonts w:hint="eastAsia" w:ascii="黑体" w:hAnsi="黑体" w:eastAsia="黑体"/>
                <w:sz w:val="32"/>
              </w:rPr>
              <w:t>　　三、政府性基金预算财政拨款支出情况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2024年度政府性基金支出0.00万元（不含市对区转移支付项目），比2023年预算数增加0.00万元，增长0%，主要是由于</w:t>
            </w:r>
            <w:r>
              <w:rPr>
                <w:rFonts w:hint="eastAsia" w:ascii="FangSong_GB2312" w:hAnsi="FangSong_GB2312" w:eastAsia="FangSong_GB2312"/>
                <w:sz w:val="32"/>
                <w:lang w:val="en-US" w:eastAsia="zh-CN"/>
              </w:rPr>
              <w:t>无政府性基金预算</w:t>
            </w:r>
            <w:r>
              <w:rPr>
                <w:rFonts w:hint="eastAsia" w:ascii="FangSong_GB2312" w:hAnsi="FangSong_GB2312" w:eastAsia="FangSong_GB2312"/>
                <w:sz w:val="32"/>
              </w:rPr>
              <w:t>（阐述增减变化原因）。支出项目（按项级科目分类统计）：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FangSong_GB2312" w:hAnsi="FangSong_GB2312" w:eastAsia="FangSong_GB2312"/>
                <w:sz w:val="32"/>
              </w:rPr>
            </w:pPr>
            <w:r>
              <w:rPr>
                <w:rFonts w:hint="eastAsia" w:ascii="黑体" w:hAnsi="黑体" w:eastAsia="黑体"/>
                <w:sz w:val="32"/>
              </w:rPr>
              <w:t>　　四、“三公”经费财政拨款预算情况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厦门市翔安中学单位2024年“三公”经费财政拨款预算数为0.00万元，其中：因公出国（境）经费0.00万元，公务接待费0.00万元，公务用车购置及运行费0.00万元。具体情况如下：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03"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FangSong_GB2312" w:hAnsi="FangSong_GB2312" w:eastAsia="FangSong_GB2312"/>
                <w:sz w:val="32"/>
              </w:rPr>
            </w:pPr>
            <w:r>
              <w:rPr>
                <w:rFonts w:hint="eastAsia" w:ascii="KaiTi_GB2312" w:hAnsi="KaiTi_GB2312" w:eastAsia="KaiTi_GB2312"/>
                <w:sz w:val="32"/>
              </w:rPr>
              <w:t>　　（一）因公出国（境）经费</w:t>
            </w:r>
          </w:p>
          <w:p>
            <w:pPr>
              <w:spacing w:line="555" w:lineRule="exact"/>
              <w:rPr>
                <w:rFonts w:hint="eastAsia" w:ascii="楷体" w:hAnsi="楷体" w:eastAsia="楷体"/>
                <w:sz w:val="32"/>
              </w:rPr>
            </w:pPr>
            <w:r>
              <w:rPr>
                <w:rFonts w:hint="eastAsia" w:ascii="FangSong_GB2312" w:hAnsi="FangSong_GB2312" w:eastAsia="FangSong_GB2312"/>
                <w:sz w:val="32"/>
              </w:rPr>
              <w:t>　　2024年预算安排0.00万元，主要用于</w:t>
            </w:r>
            <w:r>
              <w:rPr>
                <w:rFonts w:hint="eastAsia" w:ascii="KaiTi_GB2312" w:hAnsi="KaiTi_GB2312" w:eastAsia="KaiTi_GB2312"/>
                <w:sz w:val="32"/>
              </w:rPr>
              <w:t>因公出国（境）</w:t>
            </w:r>
            <w:r>
              <w:rPr>
                <w:rFonts w:hint="eastAsia" w:ascii="FangSong_GB2312" w:hAnsi="FangSong_GB2312" w:eastAsia="FangSong_GB2312"/>
                <w:sz w:val="32"/>
              </w:rPr>
              <w:t>（简要说明出国（境）团组目的）。与上年预算相比增长0%，主要原因是:</w:t>
            </w:r>
            <w:r>
              <w:rPr>
                <w:rFonts w:hint="eastAsia" w:ascii="FangSong_GB2312" w:hAnsi="FangSong_GB2312" w:eastAsia="FangSong_GB2312"/>
                <w:sz w:val="32"/>
                <w:lang w:eastAsia="zh-CN"/>
              </w:rPr>
              <w:t>无</w:t>
            </w:r>
            <w:r>
              <w:rPr>
                <w:rFonts w:hint="eastAsia" w:ascii="KaiTi_GB2312" w:hAnsi="KaiTi_GB2312" w:eastAsia="KaiTi_GB2312"/>
                <w:sz w:val="32"/>
              </w:rPr>
              <w:t>因公出国（境）</w:t>
            </w:r>
            <w:r>
              <w:rPr>
                <w:rFonts w:hint="eastAsia" w:ascii="KaiTi_GB2312" w:hAnsi="KaiTi_GB2312" w:eastAsia="KaiTi_GB2312"/>
                <w:sz w:val="32"/>
                <w:lang w:eastAsia="zh-CN"/>
              </w:rPr>
              <w:t>安排</w:t>
            </w:r>
            <w:r>
              <w:rPr>
                <w:rFonts w:hint="eastAsia" w:ascii="FangSong_GB2312" w:hAnsi="FangSong_GB2312" w:eastAsia="FangSong_GB2312"/>
                <w:sz w:val="32"/>
              </w:rPr>
              <w:t>。</w:t>
            </w:r>
          </w:p>
          <w:p>
            <w:pPr>
              <w:spacing w:line="555" w:lineRule="exact"/>
              <w:rPr>
                <w:rFonts w:hint="eastAsia" w:ascii="FangSong_GB2312" w:hAnsi="FangSong_GB2312" w:eastAsia="FangSong_GB2312"/>
                <w:sz w:val="32"/>
              </w:rPr>
            </w:pPr>
            <w:r>
              <w:rPr>
                <w:rFonts w:hint="eastAsia" w:ascii="KaiTi_GB2312" w:hAnsi="KaiTi_GB2312" w:eastAsia="KaiTi_GB2312"/>
                <w:sz w:val="32"/>
              </w:rPr>
              <w:t>　　（二）公务接待费</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2024年预算安排0.00万元，主要用于等方面的接待活动。与上年预算相比增长0%，主要原因是:</w:t>
            </w:r>
            <w:r>
              <w:rPr>
                <w:rFonts w:hint="eastAsia" w:ascii="FangSong_GB2312" w:hAnsi="FangSong_GB2312" w:eastAsia="FangSong_GB2312"/>
                <w:color w:val="auto"/>
                <w:sz w:val="32"/>
                <w:lang w:val="en-US" w:eastAsia="zh-CN"/>
              </w:rPr>
              <w:t>无公务接待活动</w:t>
            </w:r>
            <w:r>
              <w:rPr>
                <w:rFonts w:hint="eastAsia" w:ascii="FangSong_GB2312" w:hAnsi="FangSong_GB2312" w:eastAsia="FangSong_GB2312"/>
                <w:sz w:val="32"/>
              </w:rPr>
              <w:t>。</w:t>
            </w:r>
          </w:p>
          <w:p>
            <w:pPr>
              <w:spacing w:line="555" w:lineRule="exact"/>
              <w:rPr>
                <w:rFonts w:hint="eastAsia" w:ascii="FangSong_GB2312" w:hAnsi="FangSong_GB2312" w:eastAsia="FangSong_GB2312"/>
                <w:sz w:val="32"/>
              </w:rPr>
            </w:pPr>
            <w:r>
              <w:rPr>
                <w:rFonts w:hint="eastAsia" w:ascii="KaiTi_GB2312" w:hAnsi="KaiTi_GB2312" w:eastAsia="KaiTi_GB2312"/>
                <w:sz w:val="32"/>
              </w:rPr>
              <w:t>　　（三）公务用车购置及运行费</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2024年预算安排0.00万元，其中：公务用车运行费0.00万元，主要用于公务用车燃油、维修、保险等方面支出；公务用车购置费0.00万元。与上年预算相比增长0%，主要原因是:</w:t>
            </w:r>
            <w:r>
              <w:rPr>
                <w:rFonts w:hint="eastAsia" w:ascii="FangSong_GB2312" w:hAnsi="FangSong_GB2312" w:eastAsia="FangSong_GB2312"/>
                <w:color w:val="auto"/>
                <w:sz w:val="32"/>
                <w:lang w:val="en-US" w:eastAsia="zh-CN"/>
              </w:rPr>
              <w:t>无公务用车</w:t>
            </w:r>
            <w:r>
              <w:rPr>
                <w:rFonts w:hint="eastAsia" w:ascii="FangSong_GB2312" w:hAnsi="FangSong_GB2312" w:eastAsia="FangSong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华文仿宋" w:hAnsi="华文仿宋" w:eastAsia="华文仿宋"/>
                <w:sz w:val="32"/>
              </w:rPr>
            </w:pPr>
            <w:r>
              <w:rPr>
                <w:rFonts w:hint="eastAsia" w:ascii="黑体" w:hAnsi="黑体" w:eastAsia="黑体"/>
                <w:sz w:val="32"/>
              </w:rPr>
              <w:t>　　五、其他重要事项的情况说明</w:t>
            </w:r>
          </w:p>
          <w:p>
            <w:pPr>
              <w:spacing w:line="555" w:lineRule="exact"/>
              <w:rPr>
                <w:rFonts w:hint="eastAsia" w:ascii="FangSong_GB2312" w:hAnsi="FangSong_GB2312" w:eastAsia="FangSong_GB2312"/>
                <w:sz w:val="32"/>
              </w:rPr>
            </w:pPr>
            <w:r>
              <w:rPr>
                <w:rFonts w:hint="default" w:ascii="华文仿宋" w:hAnsi="华文仿宋" w:eastAsia="华文仿宋"/>
                <w:sz w:val="32"/>
              </w:rPr>
              <w:t>　　</w:t>
            </w:r>
            <w:r>
              <w:rPr>
                <w:rFonts w:hint="eastAsia" w:ascii="KaiTi_GB2312" w:hAnsi="KaiTi_GB2312" w:eastAsia="KaiTi_GB2312"/>
                <w:sz w:val="32"/>
              </w:rPr>
              <w:t>（一）机关运行经费</w:t>
            </w:r>
          </w:p>
          <w:p>
            <w:pPr>
              <w:spacing w:line="555" w:lineRule="exact"/>
              <w:rPr>
                <w:rFonts w:hint="default" w:ascii="华文仿宋" w:hAnsi="华文仿宋" w:eastAsia="华文仿宋"/>
                <w:sz w:val="32"/>
              </w:rPr>
            </w:pPr>
            <w:r>
              <w:rPr>
                <w:rFonts w:hint="eastAsia" w:ascii="FangSong_GB2312" w:hAnsi="FangSong_GB2312" w:eastAsia="FangSong_GB2312"/>
                <w:sz w:val="32"/>
              </w:rPr>
              <w:t>　　2024年厦门市翔安中学的机关运行经费财政拨款预算</w:t>
            </w:r>
            <w:r>
              <w:rPr>
                <w:rFonts w:hint="eastAsia" w:ascii="FangSong_GB2312" w:hAnsi="FangSong_GB2312" w:eastAsia="FangSong_GB2312"/>
                <w:sz w:val="32"/>
                <w:lang w:val="en-US" w:eastAsia="zh-CN"/>
              </w:rPr>
              <w:t>0</w:t>
            </w:r>
            <w:r>
              <w:rPr>
                <w:rFonts w:hint="eastAsia" w:ascii="FangSong_GB2312" w:hAnsi="FangSong_GB2312" w:eastAsia="FangSong_GB2312"/>
                <w:sz w:val="32"/>
              </w:rPr>
              <w:t>万元，</w:t>
            </w:r>
            <w:r>
              <w:rPr>
                <w:rFonts w:hint="eastAsia" w:ascii="FangSong_GB2312" w:hAnsi="FangSong_GB2312" w:eastAsia="FangSong_GB2312"/>
                <w:color w:val="auto"/>
                <w:sz w:val="32"/>
              </w:rPr>
              <w:t>比2023年预算减少（增加）0.00万元，下降（增长）</w:t>
            </w:r>
            <w:r>
              <w:rPr>
                <w:rFonts w:hint="eastAsia" w:ascii="FangSong_GB2312" w:hAnsi="FangSong_GB2312" w:eastAsia="FangSong_GB2312"/>
                <w:color w:val="auto"/>
                <w:sz w:val="32"/>
                <w:lang w:val="en-US" w:eastAsia="zh-CN"/>
              </w:rPr>
              <w:t>0</w:t>
            </w:r>
            <w:r>
              <w:rPr>
                <w:rFonts w:hint="eastAsia" w:ascii="FangSong_GB2312" w:hAnsi="FangSong_GB2312" w:eastAsia="FangSong_GB2312"/>
                <w:color w:val="auto"/>
                <w:sz w:val="32"/>
              </w:rPr>
              <w:t>%。</w:t>
            </w:r>
            <w:bookmarkStart w:id="0" w:name="_GoBack"/>
            <w:bookmarkEnd w:id="0"/>
          </w:p>
          <w:p>
            <w:pPr>
              <w:spacing w:line="555" w:lineRule="exact"/>
              <w:rPr>
                <w:rFonts w:hint="eastAsia" w:ascii="FangSong_GB2312" w:hAnsi="FangSong_GB2312" w:eastAsia="FangSong_GB2312"/>
                <w:sz w:val="32"/>
              </w:rPr>
            </w:pPr>
            <w:r>
              <w:rPr>
                <w:rFonts w:hint="default" w:ascii="华文仿宋" w:hAnsi="华文仿宋" w:eastAsia="华文仿宋"/>
                <w:sz w:val="32"/>
              </w:rPr>
              <w:t>　　</w:t>
            </w:r>
            <w:r>
              <w:rPr>
                <w:rFonts w:hint="eastAsia" w:ascii="KaiTi_GB2312" w:hAnsi="KaiTi_GB2312" w:eastAsia="KaiTi_GB2312"/>
                <w:sz w:val="32"/>
              </w:rPr>
              <w:t>（二）政府采购情况</w:t>
            </w:r>
          </w:p>
          <w:p>
            <w:pPr>
              <w:spacing w:line="555" w:lineRule="exact"/>
              <w:rPr>
                <w:rFonts w:hint="eastAsia" w:ascii="KaiTi_GB2312" w:hAnsi="KaiTi_GB2312" w:eastAsia="KaiTi_GB2312"/>
                <w:sz w:val="32"/>
              </w:rPr>
            </w:pPr>
            <w:r>
              <w:rPr>
                <w:rFonts w:hint="eastAsia" w:ascii="FangSong_GB2312" w:hAnsi="FangSong_GB2312" w:eastAsia="FangSong_GB2312"/>
                <w:sz w:val="32"/>
              </w:rPr>
              <w:t>　　2024年厦门市翔安中学政府采购预算总额28.94万元，其中：政府采购货物预算28.94万元，政府采购工程预算0.00万元，政府采购服务预算0.00万元。无此项目的也应进行说明。</w:t>
            </w:r>
          </w:p>
          <w:p>
            <w:pPr>
              <w:spacing w:line="555" w:lineRule="exact"/>
              <w:rPr>
                <w:rFonts w:hint="eastAsia" w:ascii="FangSong_GB2312" w:hAnsi="FangSong_GB2312" w:eastAsia="FangSong_GB2312"/>
                <w:sz w:val="32"/>
              </w:rPr>
            </w:pPr>
            <w:r>
              <w:rPr>
                <w:rFonts w:hint="eastAsia" w:ascii="KaiTi_GB2312" w:hAnsi="KaiTi_GB2312" w:eastAsia="KaiTi_GB2312"/>
                <w:sz w:val="32"/>
              </w:rPr>
              <w:t>　　（三）国有资产占有使用情况</w:t>
            </w:r>
          </w:p>
          <w:p>
            <w:pPr>
              <w:spacing w:line="555" w:lineRule="exact"/>
              <w:rPr>
                <w:rFonts w:hint="eastAsia" w:ascii="KaiTi_GB2312" w:hAnsi="KaiTi_GB2312" w:eastAsia="KaiTi_GB2312"/>
                <w:sz w:val="32"/>
              </w:rPr>
            </w:pPr>
            <w:r>
              <w:rPr>
                <w:rFonts w:hint="eastAsia" w:ascii="FangSong_GB2312" w:hAnsi="FangSong_GB2312" w:eastAsia="FangSong_GB2312"/>
                <w:sz w:val="32"/>
              </w:rPr>
              <w:t>　　截至2023年12月31日，厦门市翔安中学所属各预算单位共有车辆</w:t>
            </w:r>
            <w:r>
              <w:rPr>
                <w:rFonts w:hint="eastAsia" w:ascii="FangSong_GB2312" w:hAnsi="FangSong_GB2312" w:eastAsia="FangSong_GB2312"/>
                <w:sz w:val="32"/>
                <w:lang w:val="en-US" w:eastAsia="zh-CN"/>
              </w:rPr>
              <w:t>0</w:t>
            </w:r>
            <w:r>
              <w:rPr>
                <w:rFonts w:hint="eastAsia" w:ascii="FangSong_GB2312" w:hAnsi="FangSong_GB2312" w:eastAsia="FangSong_GB2312"/>
                <w:sz w:val="32"/>
              </w:rPr>
              <w:t>辆，单位价值100万元以上设备</w:t>
            </w:r>
            <w:r>
              <w:rPr>
                <w:rFonts w:hint="eastAsia" w:ascii="FangSong_GB2312" w:hAnsi="FangSong_GB2312" w:eastAsia="FangSong_GB2312"/>
                <w:sz w:val="32"/>
                <w:lang w:val="en-US" w:eastAsia="zh-CN"/>
              </w:rPr>
              <w:t>0</w:t>
            </w:r>
            <w:r>
              <w:rPr>
                <w:rFonts w:hint="eastAsia" w:ascii="FangSong_GB2312" w:hAnsi="FangSong_GB2312" w:eastAsia="FangSong_GB2312"/>
                <w:sz w:val="32"/>
              </w:rPr>
              <w:t>台（套）。无此项目的也应进行说明。</w:t>
            </w:r>
          </w:p>
          <w:p>
            <w:pPr>
              <w:spacing w:line="555" w:lineRule="exact"/>
              <w:rPr>
                <w:rFonts w:hint="eastAsia" w:ascii="FangSong_GB2312" w:hAnsi="FangSong_GB2312" w:eastAsia="FangSong_GB2312"/>
                <w:sz w:val="32"/>
              </w:rPr>
            </w:pPr>
            <w:r>
              <w:rPr>
                <w:rFonts w:hint="eastAsia" w:ascii="KaiTi_GB2312" w:hAnsi="KaiTi_GB2312" w:eastAsia="KaiTi_GB2312"/>
                <w:sz w:val="32"/>
              </w:rPr>
              <w:t>　　（四）绩效目标设置情况</w:t>
            </w:r>
          </w:p>
          <w:p>
            <w:pPr>
              <w:spacing w:line="555" w:lineRule="exact"/>
              <w:rPr>
                <w:rFonts w:hint="eastAsia" w:ascii="FangSong_GB2312" w:hAnsi="FangSong_GB2312" w:eastAsia="FangSong_GB2312"/>
                <w:sz w:val="32"/>
              </w:rPr>
            </w:pPr>
            <w:r>
              <w:rPr>
                <w:rFonts w:hint="eastAsia" w:ascii="FangSong_GB2312" w:hAnsi="FangSong_GB2312" w:eastAsia="FangSong_GB2312"/>
                <w:sz w:val="32"/>
              </w:rPr>
              <w:t>　　厦门市翔安中学2024年实行绩效目标管理的二级项目0个，涉及一般公共预算拨款0.00万元、政府性基金预算拨款0.00万元。无此项目的也应进行说明。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jc w:val="center"/>
              <w:rPr>
                <w:rFonts w:hint="eastAsia" w:ascii="黑体" w:hAnsi="黑体" w:eastAsia="黑体"/>
                <w:sz w:val="32"/>
              </w:rPr>
            </w:pPr>
            <w:r>
              <w:rPr>
                <w:rFonts w:hint="eastAsia" w:ascii="黑体" w:hAnsi="黑体" w:eastAsia="黑体"/>
                <w:sz w:val="32"/>
              </w:rPr>
              <w:t>第三部分  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KaiTi_GB2312" w:hAnsi="KaiTi_GB2312" w:eastAsia="KaiTi_GB2312"/>
                <w:sz w:val="32"/>
              </w:rPr>
            </w:pPr>
            <w:r>
              <w:rPr>
                <w:rFonts w:hint="eastAsia" w:ascii="KaiTi_GB2312" w:hAnsi="KaiTi_GB2312" w:eastAsia="KaiTi_GB2312"/>
                <w:sz w:val="32"/>
              </w:rPr>
              <w:t>　　一、基本支出</w:t>
            </w:r>
            <w:r>
              <w:rPr>
                <w:rFonts w:hint="eastAsia" w:ascii="楷体" w:hAnsi="楷体" w:eastAsia="楷体"/>
                <w:sz w:val="32"/>
              </w:rPr>
              <w:t>：</w:t>
            </w:r>
            <w:r>
              <w:rPr>
                <w:rFonts w:hint="eastAsia" w:ascii="FangSong_GB2312" w:hAnsi="FangSong_GB2312" w:eastAsia="FangSong_GB2312"/>
                <w:sz w:val="32"/>
              </w:rPr>
              <w:t>指为保障机构正常运转、完成日常工作任务而发生的人员支出、对个人和家庭的补助支出和公用支出。</w:t>
            </w:r>
          </w:p>
          <w:p>
            <w:pPr>
              <w:spacing w:line="555" w:lineRule="exact"/>
              <w:rPr>
                <w:rFonts w:hint="eastAsia" w:ascii="KaiTi_GB2312" w:hAnsi="KaiTi_GB2312" w:eastAsia="KaiTi_GB2312"/>
                <w:sz w:val="32"/>
              </w:rPr>
            </w:pPr>
            <w:r>
              <w:rPr>
                <w:rFonts w:hint="eastAsia" w:ascii="KaiTi_GB2312" w:hAnsi="KaiTi_GB2312" w:eastAsia="KaiTi_GB2312"/>
                <w:sz w:val="32"/>
              </w:rPr>
              <w:t>　　二、项目支出：</w:t>
            </w:r>
            <w:r>
              <w:rPr>
                <w:rFonts w:hint="eastAsia" w:ascii="FangSong_GB2312" w:hAnsi="FangSong_GB2312" w:eastAsia="FangSong_GB2312"/>
                <w:sz w:val="32"/>
              </w:rPr>
              <w:t>指在基本支出之外为完成特定行政任务和事业发展目标所发生的支出，包括部门专项、发展经费和基建项目。</w:t>
            </w:r>
          </w:p>
          <w:p>
            <w:pPr>
              <w:spacing w:line="555" w:lineRule="exact"/>
              <w:rPr>
                <w:rFonts w:hint="eastAsia" w:ascii="KaiTi_GB2312" w:hAnsi="KaiTi_GB2312" w:eastAsia="KaiTi_GB2312"/>
                <w:sz w:val="32"/>
              </w:rPr>
            </w:pPr>
            <w:r>
              <w:rPr>
                <w:rFonts w:hint="eastAsia" w:ascii="KaiTi_GB2312" w:hAnsi="KaiTi_GB2312" w:eastAsia="KaiTi_GB2312"/>
                <w:sz w:val="32"/>
              </w:rPr>
              <w:t>　　三、“三公”经费：</w:t>
            </w:r>
            <w:r>
              <w:rPr>
                <w:rFonts w:hint="eastAsia" w:ascii="FangSong_GB2312" w:hAnsi="FangSong_GB2312" w:eastAsia="FangSong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line="555" w:lineRule="exact"/>
              <w:rPr>
                <w:rFonts w:hint="eastAsia" w:ascii="KaiTi_GB2312" w:hAnsi="KaiTi_GB2312" w:eastAsia="KaiTi_GB2312"/>
                <w:sz w:val="32"/>
              </w:rPr>
            </w:pPr>
            <w:r>
              <w:rPr>
                <w:rFonts w:hint="eastAsia" w:ascii="KaiTi_GB2312" w:hAnsi="KaiTi_GB2312" w:eastAsia="KaiTi_GB2312"/>
                <w:sz w:val="32"/>
              </w:rPr>
              <w:t>　　四、机关运行经费：</w:t>
            </w:r>
            <w:r>
              <w:rPr>
                <w:rFonts w:hint="eastAsia" w:ascii="FangSong_GB2312" w:hAnsi="FangSong_GB2312" w:eastAsia="FangSong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line="555" w:lineRule="exact"/>
              <w:rPr>
                <w:rFonts w:hint="eastAsia" w:ascii="FangSong_GB2312" w:hAnsi="FangSong_GB2312" w:eastAsia="FangSong_GB2312"/>
                <w:sz w:val="32"/>
              </w:rPr>
            </w:pPr>
            <w:r>
              <w:rPr>
                <w:rFonts w:hint="eastAsia" w:ascii="KaiTi_GB2312" w:hAnsi="KaiTi_GB2312" w:eastAsia="KaiTi_GB2312"/>
                <w:sz w:val="32"/>
              </w:rPr>
              <w:t>　　五、其他名词解释。</w:t>
            </w:r>
            <w:r>
              <w:rPr>
                <w:rFonts w:hint="eastAsia" w:ascii="FangSong_GB2312" w:hAnsi="FangSong_GB2312" w:eastAsia="FangSong_GB2312"/>
                <w:sz w:val="32"/>
              </w:rPr>
              <w:t>由各单位根据实际情况予以增加说明。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jc w:val="center"/>
              <w:rPr>
                <w:rFonts w:hint="eastAsia" w:ascii="黑体" w:hAnsi="黑体" w:eastAsia="黑体"/>
                <w:sz w:val="32"/>
              </w:rPr>
            </w:pPr>
            <w:r>
              <w:rPr>
                <w:rFonts w:hint="eastAsia" w:ascii="黑体" w:hAnsi="黑体" w:eastAsia="黑体"/>
                <w:sz w:val="32"/>
              </w:rPr>
              <w:t>第四部分  2024年单位预算附表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40" w:lineRule="exact"/>
              <w:rPr>
                <w:rFonts w:hint="eastAsia" w:ascii="FangSong_GB2312" w:hAnsi="FangSong_GB2312" w:eastAsia="FangSong_GB2312"/>
                <w:sz w:val="32"/>
              </w:rPr>
            </w:pPr>
            <w:r>
              <w:rPr>
                <w:rFonts w:hint="eastAsia" w:ascii="FangSong_GB2312" w:hAnsi="FangSong_GB2312" w:eastAsia="FangSong_GB2312"/>
                <w:sz w:val="32"/>
              </w:rPr>
              <w:t>　　一、部门收支预算总体情况表</w:t>
            </w:r>
          </w:p>
          <w:p>
            <w:pPr>
              <w:spacing w:line="540" w:lineRule="exact"/>
              <w:rPr>
                <w:rFonts w:hint="eastAsia" w:ascii="FangSong_GB2312" w:hAnsi="FangSong_GB2312" w:eastAsia="FangSong_GB2312"/>
                <w:sz w:val="32"/>
              </w:rPr>
            </w:pPr>
            <w:r>
              <w:rPr>
                <w:rFonts w:hint="eastAsia" w:ascii="FangSong_GB2312" w:hAnsi="FangSong_GB2312" w:eastAsia="FangSong_GB2312"/>
                <w:sz w:val="32"/>
              </w:rPr>
              <w:t>　　二、部门收入预算总体情况表</w:t>
            </w:r>
          </w:p>
          <w:p>
            <w:pPr>
              <w:spacing w:line="540" w:lineRule="exact"/>
              <w:rPr>
                <w:rFonts w:hint="eastAsia" w:ascii="FangSong_GB2312" w:hAnsi="FangSong_GB2312" w:eastAsia="FangSong_GB2312"/>
                <w:sz w:val="32"/>
              </w:rPr>
            </w:pPr>
            <w:r>
              <w:rPr>
                <w:rFonts w:hint="eastAsia" w:ascii="FangSong_GB2312" w:hAnsi="FangSong_GB2312" w:eastAsia="FangSong_GB2312"/>
                <w:sz w:val="32"/>
              </w:rPr>
              <w:t>　　三、部门支出预算总体情况表</w:t>
            </w:r>
          </w:p>
          <w:p>
            <w:pPr>
              <w:spacing w:line="540" w:lineRule="exact"/>
              <w:rPr>
                <w:rFonts w:hint="eastAsia" w:ascii="FangSong_GB2312" w:hAnsi="FangSong_GB2312" w:eastAsia="FangSong_GB2312"/>
                <w:sz w:val="32"/>
              </w:rPr>
            </w:pPr>
            <w:r>
              <w:rPr>
                <w:rFonts w:hint="eastAsia" w:ascii="FangSong_GB2312" w:hAnsi="FangSong_GB2312" w:eastAsia="FangSong_GB2312"/>
                <w:sz w:val="32"/>
              </w:rPr>
              <w:t>　　四、财政拨款收支预算总体情况表</w:t>
            </w:r>
          </w:p>
          <w:p>
            <w:pPr>
              <w:spacing w:line="540" w:lineRule="exact"/>
              <w:rPr>
                <w:rFonts w:hint="eastAsia" w:ascii="FangSong_GB2312" w:hAnsi="FangSong_GB2312" w:eastAsia="FangSong_GB2312"/>
                <w:sz w:val="32"/>
              </w:rPr>
            </w:pPr>
            <w:r>
              <w:rPr>
                <w:rFonts w:hint="eastAsia" w:ascii="FangSong_GB2312" w:hAnsi="FangSong_GB2312" w:eastAsia="FangSong_GB2312"/>
                <w:sz w:val="32"/>
              </w:rPr>
              <w:t>　　五、一般公共预算支出情况表</w:t>
            </w:r>
          </w:p>
          <w:p>
            <w:pPr>
              <w:spacing w:line="540" w:lineRule="exact"/>
              <w:rPr>
                <w:rFonts w:hint="eastAsia" w:ascii="FangSong_GB2312" w:hAnsi="FangSong_GB2312" w:eastAsia="FangSong_GB2312"/>
                <w:sz w:val="32"/>
              </w:rPr>
            </w:pPr>
            <w:r>
              <w:rPr>
                <w:rFonts w:hint="eastAsia" w:ascii="FangSong_GB2312" w:hAnsi="FangSong_GB2312" w:eastAsia="FangSong_GB2312"/>
                <w:sz w:val="32"/>
              </w:rPr>
              <w:t>　　六、一般公共预算基本支出情况表（经济分类款级科目）</w:t>
            </w:r>
          </w:p>
          <w:p>
            <w:pPr>
              <w:spacing w:line="540" w:lineRule="exact"/>
              <w:rPr>
                <w:rFonts w:hint="eastAsia" w:ascii="FangSong_GB2312" w:hAnsi="FangSong_GB2312" w:eastAsia="FangSong_GB2312"/>
                <w:sz w:val="32"/>
              </w:rPr>
            </w:pPr>
            <w:r>
              <w:rPr>
                <w:rFonts w:hint="eastAsia" w:ascii="FangSong_GB2312" w:hAnsi="FangSong_GB2312" w:eastAsia="FangSong_GB2312"/>
                <w:sz w:val="32"/>
              </w:rPr>
              <w:t>　　七、一般公共预算“三公”经费支出情况表</w:t>
            </w:r>
          </w:p>
          <w:p>
            <w:pPr>
              <w:spacing w:line="540" w:lineRule="exact"/>
              <w:rPr>
                <w:rFonts w:hint="eastAsia" w:ascii="FangSong_GB2312" w:hAnsi="FangSong_GB2312" w:eastAsia="FangSong_GB2312"/>
                <w:sz w:val="32"/>
              </w:rPr>
            </w:pPr>
            <w:r>
              <w:rPr>
                <w:rFonts w:hint="eastAsia" w:ascii="FangSong_GB2312" w:hAnsi="FangSong_GB2312" w:eastAsia="FangSong_GB2312"/>
                <w:sz w:val="32"/>
              </w:rPr>
              <w:t>　　八、政府性基金预算支出情况表</w:t>
            </w:r>
          </w:p>
          <w:p>
            <w:pPr>
              <w:spacing w:line="540" w:lineRule="exact"/>
              <w:rPr>
                <w:rFonts w:hint="eastAsia" w:ascii="仿宋" w:hAnsi="仿宋" w:eastAsia="仿宋"/>
                <w:sz w:val="32"/>
              </w:rPr>
            </w:pPr>
            <w:r>
              <w:rPr>
                <w:rFonts w:hint="eastAsia" w:ascii="FangSong_GB2312" w:hAnsi="FangSong_GB2312" w:eastAsia="FangSong_GB2312"/>
                <w:sz w:val="32"/>
              </w:rPr>
              <w:t>　　九、区对镇（街）转移支付项目支出预算表</w:t>
            </w:r>
          </w:p>
          <w:p>
            <w:pPr>
              <w:spacing w:line="540" w:lineRule="exact"/>
              <w:rPr>
                <w:rFonts w:hint="eastAsia" w:ascii="黑体" w:hAnsi="黑体" w:eastAsia="黑体"/>
                <w:sz w:val="32"/>
              </w:rPr>
            </w:pPr>
            <w:r>
              <w:rPr>
                <w:rFonts w:hint="eastAsia" w:ascii="黑体" w:hAnsi="黑体" w:eastAsia="黑体"/>
                <w:sz w:val="32"/>
              </w:rPr>
              <w:t>　　（以上没有数据的表格也要列出空表并作出说明）</w:t>
            </w:r>
          </w:p>
        </w:tc>
      </w:tr>
    </w:tbl>
    <w:p>
      <w:pPr>
        <w:rPr>
          <w:rFonts w:hint="default"/>
          <w:sz w:val="24"/>
        </w:rPr>
      </w:pPr>
    </w:p>
    <w:sectPr>
      <w:footerReference r:id="rId3"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roma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FangSong_GB2312">
    <w:altName w:val="仿宋"/>
    <w:panose1 w:val="00000000000000000000"/>
    <w:charset w:val="86"/>
    <w:family w:val="roman"/>
    <w:pitch w:val="default"/>
    <w:sig w:usb0="00000000" w:usb1="00000000" w:usb2="00000000" w:usb3="00000000" w:csb0="00040000" w:csb1="00000000"/>
  </w:font>
  <w:font w:name="KaiTi_GB2312">
    <w:altName w:val="楷体"/>
    <w:panose1 w:val="00000000000000000000"/>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roman"/>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rPr>
              <w:rFonts w:hint="default"/>
              <w:sz w:val="24"/>
            </w:rPr>
          </w:pPr>
        </w:p>
      </w:tc>
      <w:tc>
        <w:tcPr>
          <w:tcW w:w="3163" w:type="dxa"/>
          <w:tcBorders>
            <w:top w:val="nil"/>
            <w:left w:val="nil"/>
            <w:bottom w:val="nil"/>
            <w:right w:val="nil"/>
            <w:tl2br w:val="nil"/>
            <w:tr2bl w:val="nil"/>
          </w:tcBorders>
          <w:shd w:val="clear" w:color="auto" w:fill="FFFFFF"/>
          <w:noWrap w:val="0"/>
          <w:vAlign w:val="top"/>
        </w:tcPr>
        <w:p>
          <w:pPr>
            <w:spacing w:line="320" w:lineRule="atLeast"/>
            <w:jc w:val="center"/>
            <w:rPr>
              <w:rFonts w:hint="eastAsia" w:ascii="宋体" w:hAnsi="宋体"/>
              <w:sz w:val="18"/>
            </w:rPr>
          </w:pPr>
          <w:r>
            <w:rPr>
              <w:rFonts w:hint="eastAsia" w:ascii="宋体" w:hAnsi="宋体"/>
              <w:sz w:val="18"/>
            </w:rPr>
            <w:fldChar w:fldCharType="begin"/>
          </w:r>
          <w:r>
            <w:rPr>
              <w:rFonts w:hint="eastAsia" w:ascii="宋体" w:hAnsi="宋体"/>
              <w:sz w:val="18"/>
            </w:rPr>
            <w:instrText xml:space="preserve">PAGE</w:instrText>
          </w:r>
          <w:r>
            <w:rPr>
              <w:rFonts w:hint="eastAsia" w:ascii="宋体" w:hAnsi="宋体"/>
              <w:sz w:val="18"/>
            </w:rPr>
            <w:fldChar w:fldCharType="separate"/>
          </w:r>
          <w:r>
            <w:rPr>
              <w:rFonts w:hint="eastAsia" w:ascii="宋体" w:hAnsi="宋体"/>
              <w:sz w:val="18"/>
            </w:rPr>
            <w:t xml:space="preserve"> </w:t>
          </w:r>
          <w:r>
            <w:rPr>
              <w:rFonts w:hint="eastAsia" w:ascii="宋体" w:hAnsi="宋体"/>
              <w:sz w:val="18"/>
            </w:rPr>
            <w:fldChar w:fldCharType="end"/>
          </w:r>
          <w:r>
            <w:rPr>
              <w:rFonts w:hint="eastAsia" w:ascii="宋体" w:hAnsi="宋体"/>
              <w:sz w:val="18"/>
            </w:rPr>
            <w:t xml:space="preserve"> </w:t>
          </w:r>
        </w:p>
      </w:tc>
      <w:tc>
        <w:tcPr>
          <w:tcW w:w="3163" w:type="dxa"/>
          <w:tcBorders>
            <w:top w:val="nil"/>
            <w:left w:val="nil"/>
            <w:bottom w:val="nil"/>
            <w:right w:val="nil"/>
            <w:tl2br w:val="nil"/>
            <w:tr2bl w:val="nil"/>
          </w:tcBorders>
          <w:shd w:val="clear" w:color="auto" w:fill="FFFFFF"/>
          <w:noWrap w:val="0"/>
          <w:vAlign w:val="top"/>
        </w:tcPr>
        <w:p>
          <w:pPr>
            <w:rPr>
              <w:rFonts w:hint="default"/>
              <w:sz w:val="24"/>
            </w:rPr>
          </w:pPr>
        </w:p>
      </w:tc>
    </w:tr>
  </w:tbl>
  <w:p>
    <w:pPr>
      <w:rPr>
        <w:rFonts w:hint="default"/>
        <w:sz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30C05B7"/>
    <w:rsid w:val="65622D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semiHidden="0" w:name="Normal"/>
    <w:lsdException w:uiPriority="99" w:semiHidden="0" w:name="heading 1"/>
    <w:lsdException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99"/>
    <w:pPr>
      <w:widowControl w:val="0"/>
      <w:autoSpaceDE w:val="0"/>
      <w:autoSpaceDN w:val="0"/>
      <w:adjustRightInd w:val="0"/>
    </w:pPr>
    <w:rPr>
      <w:rFonts w:hint="default" w:ascii="Arial" w:hAnsi="Arial" w:eastAsia="宋体" w:cs="Times New Roman"/>
      <w:color w:val="000000"/>
      <w:sz w:val="24"/>
    </w:rPr>
  </w:style>
  <w:style w:type="paragraph" w:styleId="2">
    <w:name w:val="heading 1"/>
    <w:next w:val="1"/>
    <w:unhideWhenUsed/>
    <w:uiPriority w:val="99"/>
    <w:pPr>
      <w:widowControl w:val="0"/>
      <w:autoSpaceDE w:val="0"/>
      <w:autoSpaceDN w:val="0"/>
      <w:adjustRightInd w:val="0"/>
    </w:pPr>
    <w:rPr>
      <w:rFonts w:hint="default" w:ascii="Arial" w:hAnsi="Arial" w:eastAsia="宋体" w:cs="Times New Roman"/>
      <w:b/>
      <w:color w:val="000000"/>
      <w:sz w:val="32"/>
    </w:rPr>
  </w:style>
  <w:style w:type="paragraph" w:styleId="3">
    <w:name w:val="heading 2"/>
    <w:next w:val="1"/>
    <w:unhideWhenUsed/>
    <w:uiPriority w:val="99"/>
    <w:pPr>
      <w:widowControl w:val="0"/>
      <w:autoSpaceDE w:val="0"/>
      <w:autoSpaceDN w:val="0"/>
      <w:adjustRightInd w:val="0"/>
    </w:pPr>
    <w:rPr>
      <w:rFonts w:hint="default" w:ascii="Arial" w:hAnsi="Arial" w:eastAsia="宋体" w:cs="Times New Roman"/>
      <w:b/>
      <w:i/>
      <w:color w:val="000000"/>
      <w:sz w:val="28"/>
    </w:rPr>
  </w:style>
  <w:style w:type="paragraph" w:styleId="4">
    <w:name w:val="heading 3"/>
    <w:next w:val="1"/>
    <w:unhideWhenUsed/>
    <w:qFormat/>
    <w:uiPriority w:val="99"/>
    <w:pPr>
      <w:widowControl w:val="0"/>
      <w:autoSpaceDE w:val="0"/>
      <w:autoSpaceDN w:val="0"/>
      <w:adjustRightInd w:val="0"/>
    </w:pPr>
    <w:rPr>
      <w:rFonts w:hint="default" w:ascii="Arial" w:hAnsi="Arial" w:eastAsia="宋体" w:cs="Times New Roman"/>
      <w:b/>
      <w:color w:val="000000"/>
      <w:sz w:val="26"/>
    </w:rPr>
  </w:style>
  <w:style w:type="character" w:default="1" w:styleId="6">
    <w:name w:val="Default Paragraph Font"/>
    <w:unhideWhenUsed/>
    <w:qFormat/>
    <w:uiPriority w:val="99"/>
    <w:rPr>
      <w:rFonts w:hint="default"/>
      <w:sz w:val="24"/>
    </w:rPr>
  </w:style>
  <w:style w:type="table" w:default="1" w:styleId="5">
    <w:name w:val="Normal Table"/>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2024-01-01T10:19:00Z</dcterms:created>
  <dc:creator>Administrator</dc:creator>
  <cp:lastModifiedBy>Administrator</cp:lastModifiedBy>
  <dcterms:modified xsi:type="dcterms:W3CDTF">2024-07-30T08:47:30Z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