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AC43F80">
      <w:pPr>
        <w:spacing w:beforeLines="0" w:afterLines="0"/>
        <w:rPr>
          <w:rFonts w:hint="default"/>
          <w:sz w:val="2"/>
        </w:rPr>
      </w:pPr>
    </w:p>
    <w:tbl>
      <w:tblPr>
        <w:tblStyle w:val="5"/>
        <w:tblW w:w="8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682"/>
      </w:tblGrid>
      <w:tr w14:paraId="6A131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44"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C49BB9D">
            <w:pPr>
              <w:spacing w:beforeLines="0" w:afterLines="0" w:line="525" w:lineRule="exact"/>
              <w:jc w:val="center"/>
              <w:rPr>
                <w:rFonts w:hint="default" w:ascii="黑体" w:hAnsi="黑体" w:eastAsia="黑体"/>
                <w:sz w:val="30"/>
              </w:rPr>
            </w:pPr>
            <w:r>
              <w:rPr>
                <w:rFonts w:hint="eastAsia" w:ascii="方正小标宋简体" w:hAnsi="方正小标宋简体" w:eastAsia="方正小标宋简体"/>
                <w:sz w:val="44"/>
              </w:rPr>
              <w:t>2024年度厦门市翔安区萃英小学单位预算</w:t>
            </w:r>
          </w:p>
          <w:p w14:paraId="14BAFE5C">
            <w:pPr>
              <w:spacing w:beforeLines="0" w:afterLines="0" w:line="525" w:lineRule="exact"/>
              <w:jc w:val="center"/>
              <w:rPr>
                <w:rFonts w:hint="default" w:ascii="黑体" w:hAnsi="黑体" w:eastAsia="黑体"/>
                <w:sz w:val="30"/>
              </w:rPr>
            </w:pPr>
          </w:p>
          <w:p w14:paraId="0B681ECF">
            <w:pPr>
              <w:spacing w:beforeLines="0" w:afterLines="0" w:line="525" w:lineRule="exact"/>
              <w:jc w:val="center"/>
              <w:rPr>
                <w:rFonts w:hint="eastAsia" w:ascii="黑体" w:hAnsi="黑体" w:eastAsia="黑体"/>
                <w:sz w:val="32"/>
              </w:rPr>
            </w:pPr>
            <w:r>
              <w:rPr>
                <w:rFonts w:hint="eastAsia" w:ascii="黑体" w:hAnsi="黑体" w:eastAsia="黑体"/>
                <w:sz w:val="32"/>
              </w:rPr>
              <w:t>目　　录</w:t>
            </w:r>
          </w:p>
        </w:tc>
      </w:tr>
      <w:tr w14:paraId="75FDF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3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874C764">
            <w:pPr>
              <w:spacing w:beforeLines="0" w:afterLines="0" w:line="555" w:lineRule="exact"/>
              <w:rPr>
                <w:rFonts w:hint="default" w:ascii="仿宋" w:hAnsi="仿宋" w:eastAsia="仿宋"/>
                <w:sz w:val="32"/>
              </w:rPr>
            </w:pPr>
            <w:r>
              <w:rPr>
                <w:rFonts w:hint="eastAsia" w:ascii="黑体" w:hAnsi="黑体" w:eastAsia="黑体"/>
                <w:sz w:val="32"/>
              </w:rPr>
              <w:t>　　第一部分   单位概况</w:t>
            </w:r>
          </w:p>
          <w:p w14:paraId="51168D7D">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一、单位主要职责</w:t>
            </w:r>
          </w:p>
          <w:p w14:paraId="7761A2C6">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二、单位基本情况</w:t>
            </w:r>
          </w:p>
          <w:p w14:paraId="654E1152">
            <w:pPr>
              <w:spacing w:beforeLines="0" w:afterLines="0" w:line="555" w:lineRule="exact"/>
              <w:rPr>
                <w:rFonts w:hint="default" w:ascii="黑体" w:hAnsi="黑体" w:eastAsia="黑体"/>
                <w:sz w:val="32"/>
              </w:rPr>
            </w:pPr>
            <w:r>
              <w:rPr>
                <w:rFonts w:hint="eastAsia" w:ascii="仿宋_GB2312" w:hAnsi="仿宋_GB2312" w:eastAsia="仿宋_GB2312"/>
                <w:sz w:val="32"/>
              </w:rPr>
              <w:t>　　三、单位主要工作任务</w:t>
            </w:r>
          </w:p>
          <w:p w14:paraId="166B9020">
            <w:pPr>
              <w:spacing w:beforeLines="0" w:afterLines="0" w:line="555" w:lineRule="exact"/>
              <w:rPr>
                <w:rFonts w:hint="default" w:ascii="黑体" w:hAnsi="黑体" w:eastAsia="黑体"/>
                <w:sz w:val="32"/>
              </w:rPr>
            </w:pPr>
            <w:r>
              <w:rPr>
                <w:rFonts w:hint="eastAsia" w:ascii="黑体" w:hAnsi="黑体" w:eastAsia="黑体"/>
                <w:sz w:val="32"/>
              </w:rPr>
              <w:t>　　第二部分   2024年单位预算说明</w:t>
            </w:r>
          </w:p>
          <w:p w14:paraId="0D35CFC2">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一、2024年单位预算收支总体情况</w:t>
            </w:r>
          </w:p>
          <w:p w14:paraId="3530832C">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二、一般公共预算财政拨款支出预算情况</w:t>
            </w:r>
          </w:p>
          <w:p w14:paraId="70AB31EE">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三、政府性基金预算财政拨款支出情况</w:t>
            </w:r>
          </w:p>
          <w:p w14:paraId="019877A3">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四、“三公”经费财政拨款预算情况</w:t>
            </w:r>
          </w:p>
          <w:p w14:paraId="4844F890">
            <w:pPr>
              <w:spacing w:beforeLines="0" w:afterLines="0" w:line="555" w:lineRule="exact"/>
              <w:rPr>
                <w:rFonts w:hint="default" w:ascii="黑体" w:hAnsi="黑体" w:eastAsia="黑体"/>
                <w:sz w:val="32"/>
              </w:rPr>
            </w:pPr>
            <w:r>
              <w:rPr>
                <w:rFonts w:hint="eastAsia" w:ascii="仿宋_GB2312" w:hAnsi="仿宋_GB2312" w:eastAsia="仿宋_GB2312"/>
                <w:sz w:val="32"/>
              </w:rPr>
              <w:t>　　五、其他重要事项的情况说明</w:t>
            </w:r>
          </w:p>
          <w:p w14:paraId="57D8907B">
            <w:pPr>
              <w:spacing w:beforeLines="0" w:afterLines="0" w:line="555" w:lineRule="exact"/>
              <w:rPr>
                <w:rFonts w:hint="default" w:ascii="黑体" w:hAnsi="黑体" w:eastAsia="黑体"/>
                <w:sz w:val="32"/>
              </w:rPr>
            </w:pPr>
            <w:r>
              <w:rPr>
                <w:rFonts w:hint="eastAsia" w:ascii="黑体" w:hAnsi="黑体" w:eastAsia="黑体"/>
                <w:sz w:val="32"/>
              </w:rPr>
              <w:t>　　第三部分   名词解释</w:t>
            </w:r>
          </w:p>
          <w:p w14:paraId="4DE3B3E0">
            <w:pPr>
              <w:spacing w:beforeLines="0" w:afterLines="0" w:line="555" w:lineRule="exact"/>
              <w:rPr>
                <w:rFonts w:hint="default" w:ascii="黑体" w:hAnsi="黑体" w:eastAsia="黑体"/>
                <w:sz w:val="32"/>
              </w:rPr>
            </w:pPr>
            <w:r>
              <w:rPr>
                <w:rFonts w:hint="eastAsia" w:ascii="黑体" w:hAnsi="黑体" w:eastAsia="黑体"/>
                <w:sz w:val="32"/>
              </w:rPr>
              <w:t>　　第四部分   2024年单位预算附表</w:t>
            </w:r>
          </w:p>
          <w:p w14:paraId="67A3C3B5">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一、部门收支预算总体情况表</w:t>
            </w:r>
          </w:p>
          <w:p w14:paraId="71F38E6B">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二、部门收入预算总体情况表</w:t>
            </w:r>
          </w:p>
          <w:p w14:paraId="5B1E7069">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三、部门支出预算总体情况表</w:t>
            </w:r>
          </w:p>
          <w:p w14:paraId="1FBA8412">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四、财政拨款收支预算总体情况表</w:t>
            </w:r>
          </w:p>
          <w:p w14:paraId="72CCA16C">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五、 一般公共预算支出情况表</w:t>
            </w:r>
          </w:p>
          <w:p w14:paraId="0DA8BF82">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六、一般公共预算基本支出情况表（经济分类款级科目）</w:t>
            </w:r>
          </w:p>
          <w:p w14:paraId="67E4EBE1">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七、一般公共预算“三公”经费支出情况表</w:t>
            </w:r>
          </w:p>
          <w:p w14:paraId="421ACA39">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八、政府性基金预算支出情况表</w:t>
            </w:r>
          </w:p>
          <w:p w14:paraId="01F30A23">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九、区对镇（街）转移支付支出预算表</w:t>
            </w:r>
          </w:p>
        </w:tc>
      </w:tr>
      <w:tr w14:paraId="79F29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FDDD3A1">
            <w:pPr>
              <w:spacing w:beforeLines="0" w:afterLines="0" w:line="555" w:lineRule="exact"/>
              <w:ind w:left="20"/>
              <w:jc w:val="center"/>
              <w:rPr>
                <w:rFonts w:hint="eastAsia" w:ascii="黑体" w:hAnsi="黑体" w:eastAsia="黑体"/>
                <w:sz w:val="32"/>
              </w:rPr>
            </w:pPr>
            <w:r>
              <w:rPr>
                <w:rFonts w:hint="eastAsia" w:ascii="黑体" w:hAnsi="黑体" w:eastAsia="黑体"/>
                <w:sz w:val="32"/>
              </w:rPr>
              <w:t>第一部分  单位概况</w:t>
            </w:r>
          </w:p>
        </w:tc>
      </w:tr>
      <w:tr w14:paraId="7F017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3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86C6EB0">
            <w:pPr>
              <w:spacing w:beforeLines="0" w:afterLines="0" w:line="555" w:lineRule="exact"/>
              <w:rPr>
                <w:rFonts w:hint="default" w:ascii="仿宋_GB2312" w:hAnsi="仿宋_GB2312" w:eastAsia="仿宋_GB2312"/>
                <w:sz w:val="32"/>
              </w:rPr>
            </w:pPr>
            <w:r>
              <w:rPr>
                <w:rFonts w:hint="eastAsia" w:ascii="黑体" w:hAnsi="黑体" w:eastAsia="黑体"/>
                <w:sz w:val="32"/>
              </w:rPr>
              <w:t>　　一、单位主要职责</w:t>
            </w:r>
          </w:p>
          <w:p w14:paraId="0B6DF642">
            <w:pPr>
              <w:spacing w:beforeLines="0" w:afterLines="0" w:line="555" w:lineRule="exact"/>
              <w:rPr>
                <w:rFonts w:ascii="Times New Roman" w:hAnsi="Times New Roman" w:eastAsia="仿宋_GB2312"/>
                <w:sz w:val="32"/>
                <w:szCs w:val="32"/>
              </w:rPr>
            </w:pPr>
            <w:r>
              <w:rPr>
                <w:rFonts w:hint="eastAsia" w:ascii="仿宋_GB2312" w:hAnsi="仿宋_GB2312" w:eastAsia="仿宋_GB2312"/>
                <w:sz w:val="32"/>
              </w:rPr>
              <w:t>　　厦门市翔安区萃英小学的主要职责是：</w:t>
            </w:r>
          </w:p>
          <w:p w14:paraId="19D51B4B">
            <w:pPr>
              <w:spacing w:line="555" w:lineRule="exact"/>
              <w:ind w:firstLine="640" w:firstLineChars="200"/>
              <w:rPr>
                <w:rFonts w:hint="default" w:ascii="仿宋_GB2312" w:hAnsi="仿宋_GB2312" w:eastAsia="仿宋_GB2312" w:cs="Times New Roman"/>
                <w:sz w:val="32"/>
                <w:szCs w:val="24"/>
                <w:lang w:eastAsia="zh-CN"/>
              </w:rPr>
            </w:pPr>
            <w:r>
              <w:rPr>
                <w:rFonts w:hint="eastAsia" w:ascii="仿宋_GB2312" w:hAnsi="仿宋_GB2312" w:eastAsia="仿宋_GB2312" w:cs="Times New Roman"/>
                <w:sz w:val="32"/>
                <w:szCs w:val="24"/>
                <w:lang w:eastAsia="zh-CN"/>
              </w:rPr>
              <w:t>（一）</w:t>
            </w:r>
            <w:r>
              <w:rPr>
                <w:rFonts w:hint="default" w:ascii="仿宋_GB2312" w:hAnsi="仿宋_GB2312" w:eastAsia="仿宋_GB2312" w:cs="Times New Roman"/>
                <w:sz w:val="32"/>
                <w:szCs w:val="24"/>
                <w:lang w:val="en-US" w:eastAsia="zh-CN"/>
              </w:rPr>
              <w:t>坚持正确的办学方向，全面贯彻执行党的教育方针、政策，努力培养德、智、体、美、劳全面发展的建设者和接班人。</w:t>
            </w:r>
          </w:p>
          <w:p w14:paraId="6CA81B0D">
            <w:pPr>
              <w:spacing w:line="555" w:lineRule="exact"/>
              <w:ind w:firstLine="640"/>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eastAsia="zh-CN"/>
              </w:rPr>
              <w:t>（二）</w:t>
            </w:r>
            <w:r>
              <w:rPr>
                <w:rFonts w:hint="default" w:ascii="仿宋_GB2312" w:hAnsi="仿宋_GB2312" w:eastAsia="仿宋_GB2312" w:cs="Times New Roman"/>
                <w:sz w:val="32"/>
                <w:szCs w:val="24"/>
                <w:lang w:val="en-US" w:eastAsia="zh-CN"/>
              </w:rPr>
              <w:t>制定学校工作总体计划，总结学校工作，定期向上级主管部门和全体教职工报告工作</w:t>
            </w:r>
            <w:r>
              <w:rPr>
                <w:rFonts w:hint="default" w:ascii="仿宋_GB2312" w:hAnsi="仿宋_GB2312" w:eastAsia="仿宋_GB2312" w:cs="Times New Roman"/>
                <w:sz w:val="32"/>
                <w:szCs w:val="24"/>
                <w:lang w:eastAsia="zh-CN"/>
              </w:rPr>
              <w:t>。</w:t>
            </w:r>
          </w:p>
          <w:p w14:paraId="20CE88DB">
            <w:pPr>
              <w:spacing w:line="555" w:lineRule="exact"/>
              <w:ind w:firstLine="640"/>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eastAsia="zh-CN"/>
              </w:rPr>
              <w:t>（三）</w:t>
            </w:r>
            <w:r>
              <w:rPr>
                <w:rFonts w:hint="default" w:ascii="仿宋_GB2312" w:hAnsi="仿宋_GB2312" w:eastAsia="仿宋_GB2312" w:cs="Times New Roman"/>
                <w:sz w:val="32"/>
                <w:szCs w:val="24"/>
                <w:lang w:val="en-US" w:eastAsia="zh-CN"/>
              </w:rPr>
              <w:t>主持学校工作，研究决定学校各项重大事宜</w:t>
            </w:r>
            <w:r>
              <w:rPr>
                <w:rFonts w:hint="default" w:ascii="仿宋_GB2312" w:hAnsi="仿宋_GB2312" w:eastAsia="仿宋_GB2312" w:cs="Times New Roman"/>
                <w:sz w:val="32"/>
                <w:szCs w:val="24"/>
                <w:lang w:eastAsia="zh-CN"/>
              </w:rPr>
              <w:t>。</w:t>
            </w:r>
          </w:p>
          <w:p w14:paraId="0953D4D9">
            <w:pPr>
              <w:spacing w:line="555" w:lineRule="exact"/>
              <w:ind w:firstLine="640"/>
              <w:rPr>
                <w:rFonts w:hint="default" w:ascii="仿宋_GB2312" w:hAnsi="仿宋_GB2312" w:eastAsia="仿宋_GB2312" w:cs="Times New Roman"/>
                <w:sz w:val="32"/>
                <w:szCs w:val="24"/>
                <w:lang w:val="en-US" w:eastAsia="zh-CN"/>
              </w:rPr>
            </w:pPr>
            <w:r>
              <w:rPr>
                <w:rFonts w:hint="default" w:ascii="仿宋_GB2312" w:hAnsi="仿宋_GB2312" w:eastAsia="仿宋_GB2312" w:cs="Times New Roman"/>
                <w:sz w:val="32"/>
                <w:szCs w:val="24"/>
                <w:lang w:eastAsia="zh-CN"/>
              </w:rPr>
              <w:t>（四）</w:t>
            </w:r>
            <w:r>
              <w:rPr>
                <w:rFonts w:hint="default" w:ascii="仿宋_GB2312" w:hAnsi="仿宋_GB2312" w:eastAsia="仿宋_GB2312" w:cs="Times New Roman"/>
                <w:sz w:val="32"/>
                <w:szCs w:val="24"/>
                <w:lang w:val="en-US" w:eastAsia="zh-CN"/>
              </w:rPr>
              <w:t>领导学校教育教学工作，负责搞好教学改革，提高教学质量。</w:t>
            </w:r>
          </w:p>
          <w:p w14:paraId="5DFDF8CC">
            <w:pPr>
              <w:spacing w:line="555" w:lineRule="exact"/>
              <w:ind w:firstLine="640"/>
              <w:rPr>
                <w:rFonts w:hint="default" w:ascii="仿宋_GB2312" w:hAnsi="仿宋_GB2312" w:eastAsia="仿宋_GB2312" w:cs="Times New Roman"/>
                <w:sz w:val="32"/>
                <w:szCs w:val="24"/>
                <w:lang w:val="en-US" w:eastAsia="zh-CN"/>
              </w:rPr>
            </w:pPr>
            <w:r>
              <w:rPr>
                <w:rFonts w:hint="default" w:ascii="仿宋_GB2312" w:hAnsi="仿宋_GB2312" w:eastAsia="仿宋_GB2312" w:cs="Times New Roman"/>
                <w:sz w:val="32"/>
                <w:szCs w:val="24"/>
                <w:lang w:val="en-US" w:eastAsia="zh-CN"/>
              </w:rPr>
              <w:t>（五）管好用好学校财产，合理开支经费，努力改善办学条件。</w:t>
            </w:r>
          </w:p>
          <w:p w14:paraId="087110AE">
            <w:pPr>
              <w:spacing w:beforeLines="0" w:afterLines="0" w:line="555" w:lineRule="exact"/>
              <w:rPr>
                <w:rFonts w:hint="default" w:ascii="黑体" w:hAnsi="黑体" w:eastAsia="黑体"/>
                <w:sz w:val="32"/>
              </w:rPr>
            </w:pPr>
          </w:p>
          <w:p w14:paraId="26498CD2">
            <w:pPr>
              <w:spacing w:beforeLines="0" w:afterLines="0" w:line="555" w:lineRule="exact"/>
              <w:rPr>
                <w:rFonts w:hint="default" w:ascii="仿宋_GB2312" w:hAnsi="仿宋_GB2312" w:eastAsia="仿宋_GB2312"/>
                <w:sz w:val="32"/>
              </w:rPr>
            </w:pPr>
            <w:r>
              <w:rPr>
                <w:rFonts w:hint="eastAsia" w:ascii="黑体" w:hAnsi="黑体" w:eastAsia="黑体"/>
                <w:sz w:val="32"/>
              </w:rPr>
              <w:t>　　二、单位基本情况</w:t>
            </w:r>
          </w:p>
          <w:p w14:paraId="64896342">
            <w:pPr>
              <w:spacing w:beforeLines="0" w:afterLines="0" w:line="555" w:lineRule="exact"/>
              <w:rPr>
                <w:rFonts w:hint="default" w:ascii="仿宋_GB2312" w:hAnsi="仿宋_GB2312" w:eastAsia="仿宋_GB2312"/>
                <w:sz w:val="24"/>
                <w:lang w:val="en-US" w:eastAsia="zh-CN"/>
              </w:rPr>
            </w:pPr>
            <w:r>
              <w:rPr>
                <w:rFonts w:hint="eastAsia" w:ascii="仿宋_GB2312" w:hAnsi="仿宋_GB2312" w:eastAsia="仿宋_GB2312"/>
                <w:sz w:val="32"/>
              </w:rPr>
              <w:t>　　厦门市翔安区萃英小学内设</w:t>
            </w:r>
            <w:r>
              <w:rPr>
                <w:rFonts w:hint="eastAsia" w:ascii="仿宋_GB2312" w:hAnsi="仿宋_GB2312" w:eastAsia="仿宋_GB2312"/>
                <w:sz w:val="32"/>
                <w:lang w:val="en-US" w:eastAsia="zh-CN"/>
              </w:rPr>
              <w:t>4</w:t>
            </w:r>
            <w:r>
              <w:rPr>
                <w:rFonts w:hint="eastAsia" w:ascii="仿宋_GB2312" w:hAnsi="仿宋_GB2312" w:eastAsia="仿宋_GB2312"/>
                <w:sz w:val="32"/>
              </w:rPr>
              <w:t>个处室/科室，包括</w:t>
            </w:r>
            <w:r>
              <w:rPr>
                <w:rFonts w:hint="eastAsia" w:ascii="仿宋_GB2312" w:hAnsi="仿宋_GB2312" w:eastAsia="仿宋_GB2312"/>
                <w:sz w:val="24"/>
              </w:rPr>
              <w:t>：</w:t>
            </w:r>
            <w:r>
              <w:rPr>
                <w:rFonts w:hint="eastAsia" w:ascii="仿宋_GB2312" w:hAnsi="仿宋_GB2312" w:eastAsia="仿宋_GB2312"/>
                <w:sz w:val="32"/>
                <w:lang w:val="en-US" w:eastAsia="zh-CN"/>
              </w:rPr>
              <w:t>总务保卫科、教务科、德育科和办公室</w:t>
            </w:r>
            <w:r>
              <w:rPr>
                <w:rFonts w:hint="eastAsia" w:ascii="仿宋_GB2312" w:hAnsi="仿宋_GB2312" w:eastAsia="仿宋_GB2312"/>
                <w:sz w:val="24"/>
                <w:lang w:val="en-US" w:eastAsia="zh-CN"/>
              </w:rPr>
              <w:t>。</w:t>
            </w:r>
          </w:p>
        </w:tc>
      </w:tr>
      <w:tr w14:paraId="5CAD3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3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1333E16">
            <w:pPr>
              <w:spacing w:beforeLines="0" w:afterLines="0" w:line="555" w:lineRule="exact"/>
              <w:rPr>
                <w:rFonts w:hint="default" w:ascii="仿宋_GB2312" w:hAnsi="仿宋_GB2312" w:eastAsia="仿宋_GB2312"/>
                <w:sz w:val="32"/>
              </w:rPr>
            </w:pPr>
            <w:r>
              <w:rPr>
                <w:rFonts w:hint="eastAsia" w:ascii="黑体" w:hAnsi="黑体" w:eastAsia="黑体"/>
                <w:sz w:val="32"/>
              </w:rPr>
              <w:t>　　三、单位主要工作任务</w:t>
            </w:r>
          </w:p>
          <w:p w14:paraId="4B4A3135">
            <w:pPr>
              <w:spacing w:line="555" w:lineRule="exact"/>
              <w:rPr>
                <w:rFonts w:hint="default" w:ascii="仿宋_GB2312" w:hAnsi="仿宋_GB2312" w:eastAsia="仿宋_GB2312"/>
                <w:sz w:val="32"/>
                <w:szCs w:val="24"/>
                <w:lang w:val="en-US" w:eastAsia="zh-CN"/>
              </w:rPr>
            </w:pPr>
            <w:r>
              <w:rPr>
                <w:rFonts w:hint="eastAsia" w:ascii="仿宋_GB2312" w:hAnsi="仿宋_GB2312" w:eastAsia="仿宋_GB2312"/>
                <w:sz w:val="32"/>
              </w:rPr>
              <w:t>　　</w:t>
            </w:r>
            <w:r>
              <w:rPr>
                <w:rFonts w:hint="eastAsia" w:ascii="仿宋_GB2312" w:hAnsi="仿宋_GB2312" w:eastAsia="仿宋_GB2312"/>
                <w:sz w:val="32"/>
                <w:szCs w:val="24"/>
              </w:rPr>
              <w:t>202</w:t>
            </w:r>
            <w:r>
              <w:rPr>
                <w:rFonts w:hint="eastAsia" w:ascii="仿宋_GB2312" w:hAnsi="仿宋_GB2312" w:eastAsia="仿宋_GB2312"/>
                <w:sz w:val="32"/>
                <w:szCs w:val="24"/>
                <w:lang w:val="en-US" w:eastAsia="zh-CN"/>
              </w:rPr>
              <w:t>4</w:t>
            </w:r>
            <w:r>
              <w:rPr>
                <w:rFonts w:hint="eastAsia" w:ascii="仿宋_GB2312" w:hAnsi="仿宋_GB2312" w:eastAsia="仿宋_GB2312"/>
                <w:sz w:val="32"/>
                <w:szCs w:val="24"/>
              </w:rPr>
              <w:t>年，厦门市翔安区萃英小学主要任务是</w:t>
            </w:r>
            <w:r>
              <w:rPr>
                <w:rFonts w:hint="eastAsia" w:ascii="仿宋_GB2312" w:hAnsi="仿宋_GB2312" w:eastAsia="仿宋_GB2312"/>
                <w:sz w:val="32"/>
                <w:szCs w:val="24"/>
                <w:lang w:eastAsia="zh-CN"/>
              </w:rPr>
              <w:t>：</w:t>
            </w:r>
            <w:r>
              <w:rPr>
                <w:rFonts w:hint="default" w:ascii="仿宋_GB2312" w:hAnsi="仿宋_GB2312" w:eastAsia="仿宋_GB2312"/>
                <w:sz w:val="32"/>
                <w:szCs w:val="24"/>
                <w:lang w:val="en-US" w:eastAsia="zh-CN"/>
              </w:rPr>
              <w:t>重视学校文明建设，打造美丽校园。加强校风学风建设，构建美丽人文。</w:t>
            </w:r>
          </w:p>
          <w:p w14:paraId="6D91BA81">
            <w:pPr>
              <w:spacing w:line="555" w:lineRule="exact"/>
              <w:rPr>
                <w:rFonts w:hint="default" w:ascii="仿宋_GB2312" w:hAnsi="仿宋_GB2312" w:eastAsia="仿宋_GB2312"/>
                <w:sz w:val="32"/>
                <w:szCs w:val="24"/>
              </w:rPr>
            </w:pPr>
            <w:r>
              <w:rPr>
                <w:rFonts w:hint="default" w:ascii="仿宋_GB2312" w:hAnsi="仿宋_GB2312" w:eastAsia="仿宋_GB2312"/>
                <w:sz w:val="32"/>
                <w:szCs w:val="24"/>
                <w:lang w:val="en-US" w:eastAsia="zh-CN"/>
              </w:rPr>
              <w:t>践行五育并举课程，创建美丽课堂。推行文明</w:t>
            </w:r>
            <w:r>
              <w:rPr>
                <w:rFonts w:hint="eastAsia" w:ascii="仿宋_GB2312" w:hAnsi="仿宋_GB2312" w:eastAsia="仿宋_GB2312"/>
                <w:sz w:val="32"/>
                <w:szCs w:val="24"/>
                <w:lang w:val="en-US" w:eastAsia="zh-CN"/>
              </w:rPr>
              <w:t>礼</w:t>
            </w:r>
            <w:r>
              <w:rPr>
                <w:rFonts w:hint="default" w:ascii="仿宋_GB2312" w:hAnsi="仿宋_GB2312" w:eastAsia="仿宋_GB2312"/>
                <w:sz w:val="32"/>
                <w:szCs w:val="24"/>
                <w:lang w:val="en-US" w:eastAsia="zh-CN"/>
              </w:rPr>
              <w:t>仪活动，培养美丽师生。坚持理论联系实际，收获美丽成果</w:t>
            </w:r>
            <w:r>
              <w:rPr>
                <w:rFonts w:hint="default" w:ascii="仿宋_GB2312" w:hAnsi="仿宋_GB2312" w:eastAsia="仿宋_GB2312"/>
                <w:sz w:val="32"/>
                <w:szCs w:val="24"/>
              </w:rPr>
              <w:t>。</w:t>
            </w:r>
            <w:r>
              <w:rPr>
                <w:rFonts w:hint="eastAsia" w:ascii="仿宋_GB2312" w:hAnsi="仿宋_GB2312" w:eastAsia="仿宋_GB2312"/>
                <w:sz w:val="32"/>
                <w:szCs w:val="24"/>
              </w:rPr>
              <w:t>围绕上述任务，重点抓好以下工作：</w:t>
            </w:r>
          </w:p>
          <w:p w14:paraId="6BC3A91D">
            <w:pPr>
              <w:spacing w:line="555" w:lineRule="exact"/>
              <w:rPr>
                <w:rFonts w:hint="default" w:ascii="仿宋_GB2312" w:hAnsi="仿宋_GB2312" w:eastAsia="仿宋_GB2312" w:cs="Times New Roman"/>
                <w:sz w:val="32"/>
                <w:szCs w:val="24"/>
                <w:lang w:eastAsia="zh-CN"/>
              </w:rPr>
            </w:pPr>
            <w:r>
              <w:rPr>
                <w:rFonts w:hint="eastAsia" w:ascii="仿宋_GB2312" w:hAnsi="仿宋_GB2312" w:eastAsia="仿宋_GB2312"/>
                <w:sz w:val="32"/>
                <w:szCs w:val="24"/>
              </w:rPr>
              <w:t>　　</w:t>
            </w:r>
            <w:r>
              <w:rPr>
                <w:rFonts w:hint="default" w:ascii="仿宋_GB2312" w:hAnsi="仿宋_GB2312" w:eastAsia="仿宋_GB2312" w:cs="Times New Roman"/>
                <w:sz w:val="32"/>
                <w:szCs w:val="24"/>
                <w:lang w:eastAsia="zh-CN"/>
              </w:rPr>
              <w:t>（一）制定学校发展规划，打造美丽校园。</w:t>
            </w:r>
          </w:p>
          <w:p w14:paraId="0990BE10">
            <w:pPr>
              <w:spacing w:line="555" w:lineRule="exact"/>
              <w:ind w:firstLine="640" w:firstLineChars="200"/>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eastAsia="zh-CN"/>
              </w:rPr>
              <w:t>提出“质量为本，质量立校”的指导思想，以“制度化、规范化、精细化”为工作思路，以“打造美丽校园、构建美丽班级、创设美丽课堂、评选美丽师生、美丽家长”为工作目标。努力聚焦课堂，提升质量，办家长满意的学校；聚焦特色，关注内涵，办学生喜爱的学校；聚焦过程，关注品位，创社会赞誉的学校。</w:t>
            </w:r>
          </w:p>
          <w:p w14:paraId="0070CE1D">
            <w:pPr>
              <w:numPr>
                <w:ilvl w:val="0"/>
                <w:numId w:val="1"/>
              </w:numPr>
              <w:spacing w:line="555" w:lineRule="exact"/>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eastAsia="zh-CN"/>
              </w:rPr>
              <w:t>建设安全温馨校园</w:t>
            </w:r>
          </w:p>
          <w:p w14:paraId="45565918">
            <w:pPr>
              <w:numPr>
                <w:ilvl w:val="0"/>
                <w:numId w:val="0"/>
              </w:numPr>
              <w:spacing w:line="555" w:lineRule="exact"/>
              <w:ind w:left="640"/>
              <w:rPr>
                <w:rFonts w:hint="default" w:ascii="仿宋_GB2312" w:hAnsi="仿宋_GB2312" w:eastAsia="仿宋_GB2312" w:cs="Times New Roman"/>
                <w:sz w:val="32"/>
                <w:szCs w:val="24"/>
                <w:lang w:val="en-US" w:eastAsia="zh-CN"/>
              </w:rPr>
            </w:pPr>
            <w:r>
              <w:rPr>
                <w:rFonts w:hint="default" w:ascii="仿宋_GB2312" w:hAnsi="仿宋_GB2312" w:eastAsia="仿宋_GB2312" w:cs="Times New Roman"/>
                <w:sz w:val="32"/>
                <w:szCs w:val="24"/>
                <w:lang w:val="en-US" w:eastAsia="zh-CN"/>
              </w:rPr>
              <w:t>1.加强宣传教育，切实提高对学校安全工作重要性的认识；</w:t>
            </w:r>
          </w:p>
          <w:p w14:paraId="6D515A66">
            <w:pPr>
              <w:numPr>
                <w:ilvl w:val="0"/>
                <w:numId w:val="0"/>
              </w:numPr>
              <w:spacing w:line="555" w:lineRule="exact"/>
              <w:ind w:left="640"/>
              <w:rPr>
                <w:rFonts w:hint="default" w:ascii="仿宋_GB2312" w:hAnsi="仿宋_GB2312" w:eastAsia="仿宋_GB2312" w:cs="Times New Roman"/>
                <w:sz w:val="32"/>
                <w:szCs w:val="24"/>
                <w:lang w:val="en-US" w:eastAsia="zh-CN"/>
              </w:rPr>
            </w:pPr>
            <w:r>
              <w:rPr>
                <w:rFonts w:hint="default" w:ascii="仿宋_GB2312" w:hAnsi="仿宋_GB2312" w:eastAsia="仿宋_GB2312" w:cs="Times New Roman"/>
                <w:sz w:val="32"/>
                <w:szCs w:val="24"/>
                <w:lang w:val="en-US" w:eastAsia="zh-CN"/>
              </w:rPr>
              <w:t>2.全面落实学校安全工作责任制；</w:t>
            </w:r>
          </w:p>
          <w:p w14:paraId="2FEC9CE3">
            <w:pPr>
              <w:numPr>
                <w:ilvl w:val="0"/>
                <w:numId w:val="0"/>
              </w:numPr>
              <w:spacing w:line="555" w:lineRule="exact"/>
              <w:ind w:left="640"/>
              <w:rPr>
                <w:rFonts w:hint="default" w:ascii="仿宋_GB2312" w:hAnsi="仿宋_GB2312" w:eastAsia="仿宋_GB2312" w:cs="Times New Roman"/>
                <w:sz w:val="32"/>
                <w:szCs w:val="24"/>
                <w:lang w:val="en-US" w:eastAsia="zh-CN"/>
              </w:rPr>
            </w:pPr>
            <w:r>
              <w:rPr>
                <w:rFonts w:hint="default" w:ascii="仿宋_GB2312" w:hAnsi="仿宋_GB2312" w:eastAsia="仿宋_GB2312" w:cs="Times New Roman"/>
                <w:sz w:val="32"/>
                <w:szCs w:val="24"/>
                <w:lang w:val="en-US" w:eastAsia="zh-CN"/>
              </w:rPr>
              <w:t>3.进一步贯彻完善学校安全管理制度；</w:t>
            </w:r>
          </w:p>
          <w:p w14:paraId="2F26F1BD">
            <w:pPr>
              <w:numPr>
                <w:ilvl w:val="0"/>
                <w:numId w:val="0"/>
              </w:numPr>
              <w:spacing w:line="555" w:lineRule="exact"/>
              <w:ind w:left="640"/>
              <w:rPr>
                <w:rFonts w:hint="default" w:ascii="仿宋_GB2312" w:hAnsi="仿宋_GB2312" w:eastAsia="仿宋_GB2312" w:cs="Times New Roman"/>
                <w:sz w:val="32"/>
                <w:szCs w:val="24"/>
                <w:lang w:val="en-US" w:eastAsia="zh-CN"/>
              </w:rPr>
            </w:pPr>
            <w:r>
              <w:rPr>
                <w:rFonts w:hint="default" w:ascii="仿宋_GB2312" w:hAnsi="仿宋_GB2312" w:eastAsia="仿宋_GB2312" w:cs="Times New Roman"/>
                <w:sz w:val="32"/>
                <w:szCs w:val="24"/>
                <w:lang w:val="en-US" w:eastAsia="zh-CN"/>
              </w:rPr>
              <w:t>4.认真抓好学校安全工作的基础性工作。</w:t>
            </w:r>
          </w:p>
          <w:p w14:paraId="7E44092B">
            <w:pPr>
              <w:spacing w:line="555" w:lineRule="exact"/>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eastAsia="zh-CN"/>
              </w:rPr>
              <w:t>（三）</w:t>
            </w:r>
            <w:bookmarkStart w:id="0" w:name="_GoBack"/>
            <w:bookmarkEnd w:id="0"/>
            <w:r>
              <w:rPr>
                <w:rFonts w:hint="default" w:ascii="仿宋_GB2312" w:hAnsi="仿宋_GB2312" w:eastAsia="仿宋_GB2312" w:cs="Times New Roman"/>
                <w:sz w:val="32"/>
                <w:szCs w:val="24"/>
                <w:lang w:eastAsia="zh-CN"/>
              </w:rPr>
              <w:t>推行文明礼仪活动，培养美丽师生。</w:t>
            </w:r>
          </w:p>
          <w:p w14:paraId="4E8EE047">
            <w:pPr>
              <w:spacing w:line="555" w:lineRule="exact"/>
              <w:ind w:firstLine="640" w:firstLineChars="200"/>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val="en-US" w:eastAsia="zh-CN"/>
              </w:rPr>
              <w:t>1.</w:t>
            </w:r>
            <w:r>
              <w:rPr>
                <w:rFonts w:hint="default" w:ascii="仿宋_GB2312" w:hAnsi="仿宋_GB2312" w:eastAsia="仿宋_GB2312" w:cs="Times New Roman"/>
                <w:sz w:val="32"/>
                <w:szCs w:val="24"/>
                <w:lang w:eastAsia="zh-CN"/>
              </w:rPr>
              <w:t>推行“四仪十礼”，培育美丽学生。</w:t>
            </w:r>
          </w:p>
          <w:p w14:paraId="527494EA">
            <w:pPr>
              <w:spacing w:line="555" w:lineRule="exact"/>
              <w:ind w:firstLine="640" w:firstLineChars="200"/>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eastAsia="zh-CN"/>
              </w:rPr>
              <w:t>培育美丽学生是美丽德育的关键所在，在“四仪十礼”</w:t>
            </w:r>
            <w:r>
              <w:rPr>
                <w:rFonts w:hint="eastAsia" w:ascii="仿宋_GB2312" w:hAnsi="仿宋_GB2312" w:eastAsia="仿宋_GB2312" w:cs="Times New Roman"/>
                <w:sz w:val="32"/>
                <w:szCs w:val="24"/>
                <w:lang w:val="en-US" w:eastAsia="zh-CN"/>
              </w:rPr>
              <w:t>体</w:t>
            </w:r>
            <w:r>
              <w:rPr>
                <w:rFonts w:hint="default" w:ascii="仿宋_GB2312" w:hAnsi="仿宋_GB2312" w:eastAsia="仿宋_GB2312" w:cs="Times New Roman"/>
                <w:sz w:val="32"/>
                <w:szCs w:val="24"/>
                <w:lang w:eastAsia="zh-CN"/>
              </w:rPr>
              <w:t>系中养成学生良好道德品质，培育“美丽学生”带给学生“美丽童年”。</w:t>
            </w:r>
          </w:p>
          <w:p w14:paraId="7EC7843F">
            <w:pPr>
              <w:spacing w:line="555" w:lineRule="exact"/>
              <w:ind w:firstLine="640" w:firstLineChars="200"/>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val="en-US" w:eastAsia="zh-CN"/>
              </w:rPr>
              <w:t>2.</w:t>
            </w:r>
            <w:r>
              <w:rPr>
                <w:rFonts w:hint="default" w:ascii="仿宋_GB2312" w:hAnsi="仿宋_GB2312" w:eastAsia="仿宋_GB2312" w:cs="Times New Roman"/>
                <w:sz w:val="32"/>
                <w:szCs w:val="24"/>
                <w:lang w:eastAsia="zh-CN"/>
              </w:rPr>
              <w:t>力创敬业和谐，评选美丽的教师。</w:t>
            </w:r>
          </w:p>
          <w:p w14:paraId="215C2DCF">
            <w:pPr>
              <w:spacing w:line="555" w:lineRule="exact"/>
              <w:ind w:firstLine="640" w:firstLineChars="200"/>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eastAsia="zh-CN"/>
              </w:rPr>
              <w:t>以“爱生之美”、“智慧之美”、 “阳光之美”、“和谐之美”四个方面建设“才高、品端、人和、德美”的美丽教师。</w:t>
            </w:r>
          </w:p>
          <w:p w14:paraId="7D12D7EF">
            <w:pPr>
              <w:spacing w:line="555" w:lineRule="exact"/>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eastAsia="zh-CN"/>
              </w:rPr>
              <w:t>（四）狠抓学校教学工作。</w:t>
            </w:r>
          </w:p>
          <w:p w14:paraId="5F87C0E3">
            <w:pPr>
              <w:spacing w:line="555" w:lineRule="exact"/>
              <w:ind w:firstLine="640" w:firstLineChars="200"/>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val="en-US" w:eastAsia="zh-CN"/>
              </w:rPr>
              <w:t>1.</w:t>
            </w:r>
            <w:r>
              <w:rPr>
                <w:rFonts w:hint="default" w:ascii="仿宋_GB2312" w:hAnsi="仿宋_GB2312" w:eastAsia="仿宋_GB2312" w:cs="Times New Roman"/>
                <w:sz w:val="32"/>
                <w:szCs w:val="24"/>
                <w:lang w:eastAsia="zh-CN"/>
              </w:rPr>
              <w:t>构建“校本教研”、“网络教研”互为融合的教研新机制，提高教研有效性。</w:t>
            </w:r>
          </w:p>
          <w:p w14:paraId="759DB71D">
            <w:pPr>
              <w:spacing w:line="555" w:lineRule="exact"/>
              <w:ind w:firstLine="640" w:firstLineChars="200"/>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val="en-US" w:eastAsia="zh-CN"/>
              </w:rPr>
              <w:t>2.</w:t>
            </w:r>
            <w:r>
              <w:rPr>
                <w:rFonts w:hint="default" w:ascii="仿宋_GB2312" w:hAnsi="仿宋_GB2312" w:eastAsia="仿宋_GB2312" w:cs="Times New Roman"/>
                <w:sz w:val="32"/>
                <w:szCs w:val="24"/>
                <w:lang w:eastAsia="zh-CN"/>
              </w:rPr>
              <w:t>作业布置与批改落实到位，训练及时，容量恰当。</w:t>
            </w:r>
          </w:p>
          <w:p w14:paraId="2E8BC58B">
            <w:pPr>
              <w:spacing w:line="555" w:lineRule="exact"/>
              <w:ind w:firstLine="640" w:firstLineChars="200"/>
              <w:rPr>
                <w:rFonts w:hint="default" w:ascii="仿宋_GB2312" w:hAnsi="仿宋_GB2312" w:eastAsia="仿宋_GB2312" w:cs="Times New Roman"/>
                <w:sz w:val="32"/>
                <w:szCs w:val="24"/>
                <w:lang w:eastAsia="zh-CN"/>
              </w:rPr>
            </w:pPr>
            <w:r>
              <w:rPr>
                <w:rFonts w:hint="default" w:ascii="仿宋_GB2312" w:hAnsi="仿宋_GB2312" w:eastAsia="仿宋_GB2312" w:cs="Times New Roman"/>
                <w:sz w:val="32"/>
                <w:szCs w:val="24"/>
                <w:lang w:val="en-US" w:eastAsia="zh-CN"/>
              </w:rPr>
              <w:t>3.</w:t>
            </w:r>
            <w:r>
              <w:rPr>
                <w:rFonts w:hint="default" w:ascii="仿宋_GB2312" w:hAnsi="仿宋_GB2312" w:eastAsia="仿宋_GB2312" w:cs="Times New Roman"/>
                <w:sz w:val="32"/>
                <w:szCs w:val="24"/>
                <w:lang w:eastAsia="zh-CN"/>
              </w:rPr>
              <w:t>严格常规检查，落实常规要求，为提升教学质量保驾护航。</w:t>
            </w:r>
          </w:p>
          <w:p w14:paraId="576B19CE">
            <w:pPr>
              <w:spacing w:beforeLines="0" w:afterLines="0" w:line="555" w:lineRule="exact"/>
              <w:ind w:firstLine="640" w:firstLineChars="200"/>
              <w:rPr>
                <w:rFonts w:hint="eastAsia" w:ascii="仿宋_GB2312" w:hAnsi="仿宋_GB2312" w:eastAsia="仿宋_GB2312"/>
                <w:sz w:val="32"/>
                <w:lang w:val="en-US" w:eastAsia="zh-CN"/>
              </w:rPr>
            </w:pPr>
            <w:r>
              <w:rPr>
                <w:rFonts w:hint="default" w:ascii="仿宋_GB2312" w:hAnsi="仿宋_GB2312" w:eastAsia="仿宋_GB2312" w:cs="Times New Roman"/>
                <w:sz w:val="32"/>
                <w:szCs w:val="24"/>
                <w:lang w:val="en-US" w:eastAsia="zh-CN"/>
              </w:rPr>
              <w:t>4.</w:t>
            </w:r>
            <w:r>
              <w:rPr>
                <w:rFonts w:hint="default" w:ascii="仿宋_GB2312" w:hAnsi="仿宋_GB2312" w:eastAsia="仿宋_GB2312" w:cs="Times New Roman"/>
                <w:sz w:val="32"/>
                <w:szCs w:val="24"/>
                <w:lang w:eastAsia="zh-CN"/>
              </w:rPr>
              <w:t>抓紧抓实抓细“双减”背景下，课后服务工作的落实</w:t>
            </w:r>
            <w:r>
              <w:rPr>
                <w:rFonts w:hint="eastAsia" w:ascii="仿宋_GB2312" w:hAnsi="仿宋_GB2312" w:eastAsia="仿宋_GB2312" w:cs="Times New Roman"/>
                <w:sz w:val="32"/>
                <w:szCs w:val="24"/>
                <w:lang w:eastAsia="zh-CN"/>
              </w:rPr>
              <w:t>。</w:t>
            </w:r>
          </w:p>
        </w:tc>
      </w:tr>
      <w:tr w14:paraId="71B2F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8CC3FFC">
            <w:pPr>
              <w:spacing w:beforeLines="0" w:afterLines="0" w:line="555" w:lineRule="exact"/>
              <w:ind w:left="20"/>
              <w:jc w:val="center"/>
              <w:rPr>
                <w:rFonts w:hint="eastAsia" w:ascii="黑体" w:hAnsi="黑体" w:eastAsia="黑体"/>
                <w:sz w:val="32"/>
              </w:rPr>
            </w:pPr>
            <w:r>
              <w:rPr>
                <w:rFonts w:hint="eastAsia" w:ascii="黑体" w:hAnsi="黑体" w:eastAsia="黑体"/>
                <w:sz w:val="32"/>
              </w:rPr>
              <w:t>第二部分  2024年单位预算说明</w:t>
            </w:r>
          </w:p>
        </w:tc>
      </w:tr>
      <w:tr w14:paraId="7C502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1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C460420">
            <w:pPr>
              <w:spacing w:beforeLines="0" w:afterLines="0" w:line="555" w:lineRule="exact"/>
              <w:rPr>
                <w:rFonts w:hint="default" w:ascii="仿宋_GB2312" w:hAnsi="仿宋_GB2312" w:eastAsia="仿宋_GB2312"/>
                <w:sz w:val="32"/>
              </w:rPr>
            </w:pPr>
            <w:r>
              <w:rPr>
                <w:rFonts w:hint="eastAsia" w:ascii="黑体" w:hAnsi="黑体" w:eastAsia="黑体"/>
                <w:sz w:val="32"/>
              </w:rPr>
              <w:t>　　一、2024年单位预算收支总体情况</w:t>
            </w:r>
          </w:p>
          <w:p w14:paraId="0F37FB9C">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根据预算管理的有关规定，单位的全部收入和支出均纳入部门预算管理。</w:t>
            </w:r>
          </w:p>
          <w:p w14:paraId="5E03EAF3">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（一）厦门市翔安区萃英小学2024年收入预算为2,404.82万元，比2023年预算数增加317.37万元，增长15.20％，具体情况如下：</w:t>
            </w:r>
          </w:p>
          <w:p w14:paraId="62435B81">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1.财政拨款收入2,404.82万元，其中一般公共预算拨款收入2,404.82万元，政府性基金拨款收入0.00万元，国有资本经营预算拨款收入0.00万元；</w:t>
            </w:r>
          </w:p>
          <w:p w14:paraId="023CBDC0">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2.财政专户管理资金收入0.00万元；</w:t>
            </w:r>
          </w:p>
          <w:p w14:paraId="3A0855E6">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3.事业收入0.00万元；</w:t>
            </w:r>
          </w:p>
          <w:p w14:paraId="714036C9">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4.事业单位经营收入0.00万元；</w:t>
            </w:r>
          </w:p>
          <w:p w14:paraId="3B82A8AA">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5.上级补助收入0.00万元；</w:t>
            </w:r>
          </w:p>
          <w:p w14:paraId="2CADBC9B">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6.附属单位上缴收入0.00万元；</w:t>
            </w:r>
          </w:p>
          <w:p w14:paraId="1897D50D">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7.其他收入0.00万元；</w:t>
            </w:r>
          </w:p>
          <w:p w14:paraId="0F5E6DEA">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8.上年结转结余0.00万元。</w:t>
            </w:r>
          </w:p>
        </w:tc>
      </w:tr>
      <w:tr w14:paraId="720F3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3"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0772927">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（二）厦门市翔安区萃英小学2024年支出预算为2,404.82万元（不含市对区转移支付项目），比2023年预算数增加317.37万元，增长15.20％，具体情况如下：</w:t>
            </w:r>
          </w:p>
          <w:p w14:paraId="11538A47">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1.财政拨款基本支出2,404.82万元，其中，人员支出2,041.20万元，公用支出363.61万元；</w:t>
            </w:r>
          </w:p>
          <w:p w14:paraId="3678142C">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2.财政拨款项目支出0.00万元；</w:t>
            </w:r>
          </w:p>
          <w:p w14:paraId="32EB36F9">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3.非财政拨款支出0.00万元。</w:t>
            </w:r>
          </w:p>
          <w:p w14:paraId="1D2EA8B7">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（三）厦门市翔安区萃英小学2024年区对镇（街）转移支付项目预算为0.00万元。</w:t>
            </w:r>
          </w:p>
        </w:tc>
      </w:tr>
      <w:tr w14:paraId="47310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8C67079">
            <w:pPr>
              <w:spacing w:beforeLines="0" w:afterLines="0" w:line="555" w:lineRule="exact"/>
              <w:rPr>
                <w:rFonts w:hint="default" w:ascii="仿宋_GB2312" w:hAnsi="仿宋_GB2312" w:eastAsia="仿宋_GB2312"/>
                <w:sz w:val="32"/>
              </w:rPr>
            </w:pPr>
            <w:r>
              <w:rPr>
                <w:rFonts w:hint="eastAsia" w:ascii="黑体" w:hAnsi="黑体" w:eastAsia="黑体"/>
                <w:sz w:val="32"/>
              </w:rPr>
              <w:t>　　二、一般公共预算财政拨款支出预算情况</w:t>
            </w:r>
          </w:p>
          <w:p w14:paraId="3EB5A2A0">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2024年度一般公共预算支出2,404.82万元（不含市对区转移支付项目），比2023年预算数增加317.37万元，增长15.20%，主要是由于</w:t>
            </w:r>
            <w:r>
              <w:rPr>
                <w:rFonts w:hint="eastAsia" w:ascii="仿宋_GB2312" w:hAnsi="仿宋_GB2312" w:eastAsia="仿宋_GB2312"/>
                <w:sz w:val="32"/>
                <w:lang w:eastAsia="zh-CN"/>
              </w:rPr>
              <w:t>教师人数增加</w:t>
            </w:r>
            <w:r>
              <w:rPr>
                <w:rFonts w:hint="eastAsia" w:ascii="仿宋_GB2312" w:hAnsi="仿宋_GB2312" w:eastAsia="仿宋_GB2312"/>
                <w:sz w:val="32"/>
              </w:rPr>
              <w:t>。支出项目(按项级科目分类统计)包括：</w:t>
            </w:r>
          </w:p>
        </w:tc>
      </w:tr>
      <w:tr w14:paraId="3C72C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E44AF06">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1.教育支出（类）普通教育（款）小学教育（项）1,896.73万元。主要用于</w:t>
            </w:r>
            <w:r>
              <w:rPr>
                <w:rFonts w:hint="eastAsia" w:ascii="仿宋_GB2312" w:hAnsi="仿宋_GB2312" w:eastAsia="仿宋_GB2312"/>
                <w:sz w:val="32"/>
                <w:lang w:eastAsia="zh-CN"/>
              </w:rPr>
              <w:t>人员经费和公用经费</w:t>
            </w:r>
            <w:r>
              <w:rPr>
                <w:rFonts w:hint="eastAsia" w:ascii="仿宋_GB2312" w:hAnsi="仿宋_GB2312" w:eastAsia="仿宋_GB2312"/>
                <w:sz w:val="32"/>
              </w:rPr>
              <w:t>支出。</w:t>
            </w:r>
          </w:p>
        </w:tc>
      </w:tr>
      <w:tr w14:paraId="0B801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60602FB4">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2.社会保障和就业支出（类）行政事业单位养老支出（款）事业单位离退休（项）160.14万元。主要用于事业单位退休</w:t>
            </w:r>
            <w:r>
              <w:rPr>
                <w:rFonts w:hint="eastAsia" w:ascii="仿宋_GB2312" w:hAnsi="仿宋_GB2312" w:eastAsia="仿宋_GB2312"/>
                <w:sz w:val="32"/>
                <w:lang w:val="en-US" w:eastAsia="zh-CN"/>
              </w:rPr>
              <w:t>人员生活补贴等</w:t>
            </w:r>
            <w:r>
              <w:rPr>
                <w:rFonts w:hint="eastAsia" w:ascii="仿宋_GB2312" w:hAnsi="仿宋_GB2312" w:eastAsia="仿宋_GB2312"/>
                <w:sz w:val="32"/>
              </w:rPr>
              <w:t>支出。</w:t>
            </w:r>
          </w:p>
        </w:tc>
      </w:tr>
      <w:tr w14:paraId="2742A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A7314CB">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3.社会保障和就业支出（类）行政事业单位养老支出（款）机关事业单位基本养老保险缴费支出（项）153.34万元。主要用于单位基本养老保险缴费支出。</w:t>
            </w:r>
          </w:p>
        </w:tc>
      </w:tr>
      <w:tr w14:paraId="53B14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64419B6E">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4.社会保障和就业支出（类）行政事业单位养老支出（款）机关事业单位职业年金缴费支出（项）129.74万元。主要用于单位职业年金缴费支出。</w:t>
            </w:r>
          </w:p>
        </w:tc>
      </w:tr>
      <w:tr w14:paraId="52F60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9D9C2EB">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5.卫生健康支出（类）行政事业单位医疗（款）事业单位医疗（项）42.93万元。主要用于单位医疗</w:t>
            </w:r>
            <w:r>
              <w:rPr>
                <w:rFonts w:hint="eastAsia" w:ascii="仿宋_GB2312" w:hAnsi="仿宋_GB2312" w:eastAsia="仿宋_GB2312"/>
                <w:sz w:val="32"/>
                <w:lang w:eastAsia="zh-CN"/>
              </w:rPr>
              <w:t>保险缴费</w:t>
            </w:r>
            <w:r>
              <w:rPr>
                <w:rFonts w:hint="eastAsia" w:ascii="仿宋_GB2312" w:hAnsi="仿宋_GB2312" w:eastAsia="仿宋_GB2312"/>
                <w:sz w:val="32"/>
              </w:rPr>
              <w:t>支出。</w:t>
            </w:r>
          </w:p>
        </w:tc>
      </w:tr>
      <w:tr w14:paraId="648BE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01750486">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6.卫生健康支出（类）行政事业单位医疗（款）其他行政事业单位医疗支出（项）21.93万元。主要用于单位医疗</w:t>
            </w:r>
            <w:r>
              <w:rPr>
                <w:rFonts w:hint="eastAsia" w:ascii="仿宋_GB2312" w:hAnsi="仿宋_GB2312" w:eastAsia="仿宋_GB2312"/>
                <w:sz w:val="32"/>
                <w:lang w:eastAsia="zh-CN"/>
              </w:rPr>
              <w:t>补助</w:t>
            </w:r>
            <w:r>
              <w:rPr>
                <w:rFonts w:hint="eastAsia" w:ascii="仿宋_GB2312" w:hAnsi="仿宋_GB2312" w:eastAsia="仿宋_GB2312"/>
                <w:sz w:val="32"/>
              </w:rPr>
              <w:t>支出。</w:t>
            </w:r>
          </w:p>
        </w:tc>
      </w:tr>
      <w:tr w14:paraId="2394C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0C8A126">
            <w:pPr>
              <w:spacing w:beforeLines="0" w:afterLines="0" w:line="555" w:lineRule="exact"/>
              <w:rPr>
                <w:rFonts w:hint="default" w:ascii="仿宋_GB2312" w:hAnsi="仿宋_GB2312" w:eastAsia="仿宋_GB2312"/>
                <w:sz w:val="32"/>
              </w:rPr>
            </w:pPr>
            <w:r>
              <w:rPr>
                <w:rFonts w:hint="eastAsia" w:ascii="黑体" w:hAnsi="黑体" w:eastAsia="黑体"/>
                <w:sz w:val="32"/>
              </w:rPr>
              <w:t>　　三、政府性基金预算财政拨款支出情况</w:t>
            </w:r>
          </w:p>
          <w:p w14:paraId="37B6A54F">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2024年度政府性基金支出0.00万元（不含市对区转移支付项目），比2023年预算数增加0.00万元，增长0%，主要是由于</w:t>
            </w:r>
            <w:r>
              <w:rPr>
                <w:rFonts w:hint="eastAsia" w:ascii="仿宋_GB2312" w:hAnsi="仿宋_GB2312" w:eastAsia="仿宋_GB2312"/>
                <w:color w:val="auto"/>
                <w:sz w:val="32"/>
                <w:lang w:val="en-US" w:eastAsia="zh-CN"/>
              </w:rPr>
              <w:t>无</w:t>
            </w:r>
            <w:r>
              <w:rPr>
                <w:rFonts w:hint="eastAsia" w:ascii="仿宋_GB2312" w:hAnsi="仿宋_GB2312" w:eastAsia="仿宋_GB2312"/>
                <w:color w:val="auto"/>
                <w:sz w:val="32"/>
              </w:rPr>
              <w:t>。</w:t>
            </w:r>
            <w:r>
              <w:rPr>
                <w:rFonts w:hint="eastAsia" w:ascii="仿宋_GB2312" w:hAnsi="仿宋_GB2312" w:eastAsia="仿宋_GB2312"/>
                <w:sz w:val="32"/>
              </w:rPr>
              <w:t>支出项目（按项级科目分类统计）：</w:t>
            </w:r>
          </w:p>
        </w:tc>
      </w:tr>
      <w:tr w14:paraId="0FB83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F1277E0">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暂无数据</w:t>
            </w:r>
          </w:p>
        </w:tc>
      </w:tr>
      <w:tr w14:paraId="394EB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FF9CDDE">
            <w:pPr>
              <w:spacing w:beforeLines="0" w:afterLines="0" w:line="555" w:lineRule="exact"/>
              <w:rPr>
                <w:rFonts w:hint="default" w:ascii="仿宋_GB2312" w:hAnsi="仿宋_GB2312" w:eastAsia="仿宋_GB2312"/>
                <w:sz w:val="32"/>
              </w:rPr>
            </w:pPr>
          </w:p>
          <w:p w14:paraId="61FE46C4">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2024年没有使用政府性基金预算拨款安排支出，也应予以说明预算数为零以及与上年增加变化情况。</w:t>
            </w:r>
          </w:p>
        </w:tc>
      </w:tr>
      <w:tr w14:paraId="22BCF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A4CAB94">
            <w:pPr>
              <w:spacing w:beforeLines="0" w:afterLines="0" w:line="555" w:lineRule="exact"/>
              <w:rPr>
                <w:rFonts w:hint="default" w:ascii="仿宋_GB2312" w:hAnsi="仿宋_GB2312" w:eastAsia="仿宋_GB2312"/>
                <w:sz w:val="32"/>
              </w:rPr>
            </w:pPr>
            <w:r>
              <w:rPr>
                <w:rFonts w:hint="eastAsia" w:ascii="黑体" w:hAnsi="黑体" w:eastAsia="黑体"/>
                <w:sz w:val="32"/>
              </w:rPr>
              <w:t>　　四、“三公”经费财政拨款预算情况</w:t>
            </w:r>
          </w:p>
          <w:p w14:paraId="35E3B141">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厦门市翔安区萃英小学单位2024年“三公”经费财政拨款预算数为2.00万元，其中：因公出国（境）经费0.00万元，公务接待费0.00万元，公务用车购置及运行费2.00万元。具体情况如下：</w:t>
            </w:r>
          </w:p>
        </w:tc>
      </w:tr>
      <w:tr w14:paraId="541A4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03"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EB613C9">
            <w:pPr>
              <w:spacing w:beforeLines="0" w:afterLines="0" w:line="555" w:lineRule="exact"/>
              <w:rPr>
                <w:rFonts w:hint="default" w:ascii="仿宋_GB2312" w:hAnsi="仿宋_GB2312" w:eastAsia="仿宋_GB2312"/>
                <w:sz w:val="32"/>
              </w:rPr>
            </w:pPr>
            <w:r>
              <w:rPr>
                <w:rFonts w:hint="eastAsia" w:ascii="楷体_GB2312" w:hAnsi="楷体_GB2312" w:eastAsia="楷体_GB2312"/>
                <w:sz w:val="32"/>
              </w:rPr>
              <w:t>　　（一）因公出国（境）经费</w:t>
            </w:r>
          </w:p>
          <w:p w14:paraId="2C08372F">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2024年预算安排0.00万元。主要用于</w:t>
            </w:r>
            <w:r>
              <w:rPr>
                <w:rFonts w:hint="eastAsia" w:ascii="楷体_GB2312" w:hAnsi="楷体_GB2312" w:eastAsia="楷体_GB2312"/>
                <w:sz w:val="32"/>
              </w:rPr>
              <w:t>因公出国（境）</w:t>
            </w:r>
            <w:r>
              <w:rPr>
                <w:rFonts w:hint="eastAsia" w:ascii="楷体_GB2312" w:hAnsi="楷体_GB2312" w:eastAsia="楷体_GB2312"/>
                <w:sz w:val="32"/>
                <w:lang w:eastAsia="zh-CN"/>
              </w:rPr>
              <w:t>费用</w:t>
            </w:r>
            <w:r>
              <w:rPr>
                <w:rFonts w:hint="eastAsia" w:ascii="仿宋_GB2312" w:hAnsi="仿宋_GB2312" w:eastAsia="仿宋_GB2312"/>
                <w:sz w:val="32"/>
              </w:rPr>
              <w:t>。与上年预算相比增长0%，主要原因是:</w:t>
            </w:r>
            <w:r>
              <w:rPr>
                <w:rFonts w:hint="eastAsia" w:ascii="仿宋_GB2312" w:hAnsi="仿宋_GB2312" w:eastAsia="仿宋_GB2312"/>
                <w:sz w:val="32"/>
                <w:lang w:eastAsia="zh-CN"/>
              </w:rPr>
              <w:t>无预算安排</w:t>
            </w:r>
            <w:r>
              <w:rPr>
                <w:rFonts w:hint="eastAsia" w:ascii="仿宋_GB2312" w:hAnsi="仿宋_GB2312" w:eastAsia="仿宋_GB2312"/>
                <w:sz w:val="32"/>
              </w:rPr>
              <w:t>。</w:t>
            </w:r>
          </w:p>
          <w:p w14:paraId="05DB7C9D">
            <w:pPr>
              <w:spacing w:beforeLines="0" w:afterLines="0" w:line="555" w:lineRule="exact"/>
              <w:rPr>
                <w:rFonts w:hint="default" w:ascii="楷体" w:hAnsi="楷体" w:eastAsia="楷体"/>
                <w:sz w:val="32"/>
              </w:rPr>
            </w:pPr>
            <w:r>
              <w:rPr>
                <w:rFonts w:hint="eastAsia" w:ascii="仿宋_GB2312" w:hAnsi="仿宋_GB2312" w:eastAsia="仿宋_GB2312"/>
                <w:sz w:val="32"/>
              </w:rPr>
              <w:t>　　因公出国（境）经费为零或者与上年相比未变化的，也应予以说明</w:t>
            </w:r>
            <w:r>
              <w:rPr>
                <w:rFonts w:hint="eastAsia" w:ascii="仿宋_GB2312" w:hAnsi="仿宋_GB2312" w:eastAsia="仿宋_GB2312"/>
                <w:sz w:val="24"/>
              </w:rPr>
              <w:t>。</w:t>
            </w:r>
          </w:p>
          <w:p w14:paraId="200A4C7B">
            <w:pPr>
              <w:spacing w:beforeLines="0" w:afterLines="0" w:line="555" w:lineRule="exact"/>
              <w:rPr>
                <w:rFonts w:hint="default" w:ascii="仿宋_GB2312" w:hAnsi="仿宋_GB2312" w:eastAsia="仿宋_GB2312"/>
                <w:sz w:val="32"/>
              </w:rPr>
            </w:pPr>
            <w:r>
              <w:rPr>
                <w:rFonts w:hint="eastAsia" w:ascii="楷体_GB2312" w:hAnsi="楷体_GB2312" w:eastAsia="楷体_GB2312"/>
                <w:sz w:val="32"/>
              </w:rPr>
              <w:t>　　（二）公务接待费</w:t>
            </w:r>
          </w:p>
          <w:p w14:paraId="46F9F331">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2024年预算安排0.00万元。主要用</w:t>
            </w:r>
            <w:r>
              <w:rPr>
                <w:rFonts w:hint="eastAsia" w:ascii="仿宋_GB2312" w:hAnsi="仿宋_GB2312" w:eastAsia="仿宋_GB2312"/>
                <w:color w:val="auto"/>
                <w:sz w:val="32"/>
              </w:rPr>
              <w:t>于</w:t>
            </w:r>
            <w:r>
              <w:rPr>
                <w:rFonts w:hint="eastAsia" w:ascii="仿宋_GB2312" w:hAnsi="仿宋_GB2312" w:eastAsia="仿宋_GB2312"/>
                <w:color w:val="auto"/>
                <w:sz w:val="32"/>
                <w:lang w:val="en-US" w:eastAsia="zh-CN"/>
              </w:rPr>
              <w:t>教科研</w:t>
            </w:r>
            <w:r>
              <w:rPr>
                <w:rFonts w:hint="eastAsia" w:ascii="仿宋_GB2312" w:hAnsi="仿宋_GB2312" w:eastAsia="仿宋_GB2312"/>
                <w:color w:val="auto"/>
                <w:sz w:val="32"/>
              </w:rPr>
              <w:t>等</w:t>
            </w:r>
            <w:r>
              <w:rPr>
                <w:rFonts w:hint="eastAsia" w:ascii="仿宋_GB2312" w:hAnsi="仿宋_GB2312" w:eastAsia="仿宋_GB2312"/>
                <w:sz w:val="32"/>
              </w:rPr>
              <w:t>方面的接待活动。与上年预算相比增长0%，主要原因是:</w:t>
            </w:r>
            <w:r>
              <w:rPr>
                <w:rFonts w:hint="eastAsia" w:ascii="仿宋_GB2312" w:hAnsi="仿宋_GB2312" w:eastAsia="仿宋_GB2312"/>
                <w:sz w:val="32"/>
                <w:lang w:eastAsia="zh-CN"/>
              </w:rPr>
              <w:t>无预算安排</w:t>
            </w:r>
            <w:r>
              <w:rPr>
                <w:rFonts w:hint="eastAsia" w:ascii="仿宋_GB2312" w:hAnsi="仿宋_GB2312" w:eastAsia="仿宋_GB2312"/>
                <w:sz w:val="32"/>
              </w:rPr>
              <w:t>。</w:t>
            </w:r>
          </w:p>
          <w:p w14:paraId="421CCF94">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公务接待经费为零或者与上年相比未变化的，也应予以说明。</w:t>
            </w:r>
          </w:p>
          <w:p w14:paraId="77C04C81">
            <w:pPr>
              <w:spacing w:beforeLines="0" w:afterLines="0" w:line="555" w:lineRule="exact"/>
              <w:rPr>
                <w:rFonts w:hint="default" w:ascii="仿宋_GB2312" w:hAnsi="仿宋_GB2312" w:eastAsia="仿宋_GB2312"/>
                <w:sz w:val="32"/>
              </w:rPr>
            </w:pPr>
            <w:r>
              <w:rPr>
                <w:rFonts w:hint="eastAsia" w:ascii="楷体_GB2312" w:hAnsi="楷体_GB2312" w:eastAsia="楷体_GB2312"/>
                <w:sz w:val="32"/>
              </w:rPr>
              <w:t>　　（三）公务用车购置及运行费</w:t>
            </w:r>
          </w:p>
          <w:p w14:paraId="2A31FFC3">
            <w:pPr>
              <w:spacing w:beforeLines="0" w:afterLines="0" w:line="555" w:lineRule="exact"/>
              <w:rPr>
                <w:rFonts w:hint="default" w:ascii="仿宋_GB2312" w:hAnsi="仿宋_GB2312" w:eastAsia="仿宋_GB2312"/>
                <w:sz w:val="32"/>
                <w:szCs w:val="22"/>
                <w:lang w:val="en-US" w:eastAsia="zh-CN"/>
              </w:rPr>
            </w:pPr>
            <w:r>
              <w:rPr>
                <w:rFonts w:hint="eastAsia" w:ascii="仿宋_GB2312" w:hAnsi="仿宋_GB2312" w:eastAsia="仿宋_GB2312"/>
                <w:sz w:val="32"/>
              </w:rPr>
              <w:t>　　2024年预算安排2.00万元，其中：公务用车运行费2.00万元，主要用于公务用车燃油、维修、保险等方面支出；公务用车购置费0.00万元。与上年预算相比，主要原因是:</w:t>
            </w:r>
            <w:r>
              <w:rPr>
                <w:rFonts w:hint="eastAsia" w:ascii="仿宋_GB2312" w:hAnsi="仿宋_GB2312" w:eastAsia="仿宋_GB2312"/>
                <w:sz w:val="32"/>
                <w:szCs w:val="22"/>
                <w:lang w:val="en-US" w:eastAsia="zh-CN"/>
              </w:rPr>
              <w:t>无公务用车，预算编制有误。</w:t>
            </w:r>
          </w:p>
          <w:p w14:paraId="14D50B78">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公务用车购置及运行费为零或者与上年相比未变化的，也应予以说明。</w:t>
            </w:r>
          </w:p>
        </w:tc>
      </w:tr>
      <w:tr w14:paraId="576C2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6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C4FAAC7">
            <w:pPr>
              <w:spacing w:beforeLines="0" w:afterLines="0" w:line="555" w:lineRule="exact"/>
              <w:rPr>
                <w:rFonts w:hint="default" w:ascii="华文仿宋" w:hAnsi="华文仿宋" w:eastAsia="华文仿宋"/>
                <w:sz w:val="32"/>
              </w:rPr>
            </w:pPr>
            <w:r>
              <w:rPr>
                <w:rFonts w:hint="eastAsia" w:ascii="黑体" w:hAnsi="黑体" w:eastAsia="黑体"/>
                <w:sz w:val="32"/>
              </w:rPr>
              <w:t>　　五、其他重要事项的情况说明</w:t>
            </w:r>
          </w:p>
          <w:p w14:paraId="70331CCB">
            <w:pPr>
              <w:spacing w:beforeLines="0" w:afterLines="0" w:line="555" w:lineRule="exact"/>
              <w:rPr>
                <w:rFonts w:hint="default" w:ascii="仿宋_GB2312" w:hAnsi="仿宋_GB2312" w:eastAsia="仿宋_GB2312"/>
                <w:sz w:val="32"/>
              </w:rPr>
            </w:pPr>
            <w:r>
              <w:rPr>
                <w:rFonts w:hint="eastAsia" w:ascii="华文仿宋" w:hAnsi="华文仿宋" w:eastAsia="华文仿宋"/>
                <w:sz w:val="32"/>
              </w:rPr>
              <w:t>　　</w:t>
            </w:r>
            <w:r>
              <w:rPr>
                <w:rFonts w:hint="eastAsia" w:ascii="楷体_GB2312" w:hAnsi="楷体_GB2312" w:eastAsia="楷体_GB2312"/>
                <w:sz w:val="32"/>
              </w:rPr>
              <w:t>（一）机关运行经费</w:t>
            </w:r>
          </w:p>
          <w:p w14:paraId="430B34DA">
            <w:pPr>
              <w:spacing w:beforeLines="0" w:afterLines="0" w:line="555" w:lineRule="exact"/>
              <w:rPr>
                <w:rFonts w:hint="default" w:ascii="华文仿宋" w:hAnsi="华文仿宋" w:eastAsia="华文仿宋"/>
                <w:sz w:val="32"/>
              </w:rPr>
            </w:pPr>
            <w:r>
              <w:rPr>
                <w:rFonts w:hint="eastAsia" w:ascii="仿宋_GB2312" w:hAnsi="仿宋_GB2312" w:eastAsia="仿宋_GB2312"/>
                <w:sz w:val="32"/>
              </w:rPr>
              <w:t>　　2024年厦门市翔安区萃英小学的机关运行经费财政拨款预算0.00万元，比2023年预算减少（增加</w:t>
            </w:r>
            <w:r>
              <w:rPr>
                <w:rFonts w:hint="eastAsia" w:ascii="仿宋_GB2312" w:hAnsi="仿宋_GB2312" w:eastAsia="仿宋_GB2312"/>
                <w:sz w:val="32"/>
                <w:lang w:eastAsia="zh-CN"/>
              </w:rPr>
              <w:t>）</w:t>
            </w:r>
            <w:r>
              <w:rPr>
                <w:rFonts w:hint="eastAsia" w:ascii="仿宋_GB2312" w:hAnsi="仿宋_GB2312" w:eastAsia="仿宋_GB2312"/>
                <w:sz w:val="32"/>
              </w:rPr>
              <w:t>0.00万元，下降（增长）</w:t>
            </w:r>
            <w:r>
              <w:rPr>
                <w:rFonts w:hint="eastAsia" w:ascii="仿宋_GB2312" w:hAnsi="仿宋_GB2312" w:eastAsia="仿宋_GB2312"/>
                <w:color w:val="auto"/>
                <w:sz w:val="32"/>
                <w:lang w:val="en-US" w:eastAsia="zh-CN"/>
              </w:rPr>
              <w:t>0</w:t>
            </w:r>
            <w:r>
              <w:rPr>
                <w:rFonts w:hint="eastAsia" w:ascii="仿宋_GB2312" w:hAnsi="仿宋_GB2312" w:eastAsia="仿宋_GB2312"/>
                <w:sz w:val="32"/>
              </w:rPr>
              <w:t>%。无此项目的也应进行说明。</w:t>
            </w:r>
          </w:p>
          <w:p w14:paraId="0AF4115E">
            <w:pPr>
              <w:spacing w:beforeLines="0" w:afterLines="0" w:line="555" w:lineRule="exact"/>
              <w:rPr>
                <w:rFonts w:hint="default" w:ascii="仿宋_GB2312" w:hAnsi="仿宋_GB2312" w:eastAsia="仿宋_GB2312"/>
                <w:sz w:val="32"/>
              </w:rPr>
            </w:pPr>
            <w:r>
              <w:rPr>
                <w:rFonts w:hint="eastAsia" w:ascii="华文仿宋" w:hAnsi="华文仿宋" w:eastAsia="华文仿宋"/>
                <w:sz w:val="32"/>
              </w:rPr>
              <w:t>　　</w:t>
            </w:r>
            <w:r>
              <w:rPr>
                <w:rFonts w:hint="eastAsia" w:ascii="楷体_GB2312" w:hAnsi="楷体_GB2312" w:eastAsia="楷体_GB2312"/>
                <w:sz w:val="32"/>
              </w:rPr>
              <w:t>（二）政府采购情况</w:t>
            </w:r>
          </w:p>
          <w:p w14:paraId="0261A731">
            <w:pPr>
              <w:spacing w:beforeLines="0" w:afterLines="0" w:line="555" w:lineRule="exact"/>
              <w:rPr>
                <w:rFonts w:hint="default" w:ascii="楷体_GB2312" w:hAnsi="楷体_GB2312" w:eastAsia="楷体_GB2312"/>
                <w:sz w:val="32"/>
              </w:rPr>
            </w:pPr>
            <w:r>
              <w:rPr>
                <w:rFonts w:hint="eastAsia" w:ascii="仿宋_GB2312" w:hAnsi="仿宋_GB2312" w:eastAsia="仿宋_GB2312"/>
                <w:sz w:val="32"/>
              </w:rPr>
              <w:t>　　2024年厦门市翔安区</w:t>
            </w:r>
            <w:r>
              <w:rPr>
                <w:rFonts w:hint="eastAsia" w:ascii="仿宋_GB2312" w:hAnsi="仿宋_GB2312" w:eastAsia="仿宋_GB2312"/>
                <w:sz w:val="32"/>
                <w:lang w:eastAsia="zh-CN"/>
              </w:rPr>
              <w:t>翠</w:t>
            </w:r>
            <w:r>
              <w:rPr>
                <w:rFonts w:hint="eastAsia" w:ascii="仿宋_GB2312" w:hAnsi="仿宋_GB2312" w:eastAsia="仿宋_GB2312"/>
                <w:sz w:val="32"/>
              </w:rPr>
              <w:t>英小学政府采购预算总额9.90万元，其中：政府采购货物预算9.90万元，政府采购工程预算0.00万元，政府采购服务预算0.00万元。无此项目的也应进行说明。</w:t>
            </w:r>
          </w:p>
          <w:p w14:paraId="244E0DF9">
            <w:pPr>
              <w:spacing w:beforeLines="0" w:afterLines="0" w:line="555" w:lineRule="exact"/>
              <w:rPr>
                <w:rFonts w:hint="default" w:ascii="仿宋_GB2312" w:hAnsi="仿宋_GB2312" w:eastAsia="仿宋_GB2312"/>
                <w:sz w:val="32"/>
              </w:rPr>
            </w:pPr>
            <w:r>
              <w:rPr>
                <w:rFonts w:hint="eastAsia" w:ascii="楷体_GB2312" w:hAnsi="楷体_GB2312" w:eastAsia="楷体_GB2312"/>
                <w:sz w:val="32"/>
              </w:rPr>
              <w:t>　　（三）国有资产占有使用情况</w:t>
            </w:r>
          </w:p>
          <w:p w14:paraId="3BE6F929">
            <w:pPr>
              <w:spacing w:beforeLines="0" w:afterLines="0" w:line="555" w:lineRule="exact"/>
              <w:rPr>
                <w:rFonts w:hint="default" w:ascii="楷体_GB2312" w:hAnsi="楷体_GB2312" w:eastAsia="楷体_GB2312"/>
                <w:sz w:val="32"/>
              </w:rPr>
            </w:pPr>
            <w:r>
              <w:rPr>
                <w:rFonts w:hint="eastAsia" w:ascii="仿宋_GB2312" w:hAnsi="仿宋_GB2312" w:eastAsia="仿宋_GB2312"/>
                <w:sz w:val="32"/>
              </w:rPr>
              <w:t>　　截至2023年12月31日，厦门市翔安区萃英小学所属各预算单位共有</w:t>
            </w:r>
            <w:r>
              <w:rPr>
                <w:rFonts w:hint="eastAsia" w:ascii="仿宋_GB2312" w:hAnsi="仿宋_GB2312" w:eastAsia="仿宋_GB2312"/>
                <w:color w:val="auto"/>
                <w:sz w:val="32"/>
              </w:rPr>
              <w:t>车辆</w:t>
            </w:r>
            <w:r>
              <w:rPr>
                <w:rFonts w:hint="eastAsia" w:ascii="仿宋_GB2312" w:hAnsi="仿宋_GB2312" w:eastAsia="仿宋_GB2312"/>
                <w:color w:val="auto"/>
                <w:sz w:val="32"/>
                <w:lang w:val="en-US" w:eastAsia="zh-CN"/>
              </w:rPr>
              <w:t>0</w:t>
            </w:r>
            <w:r>
              <w:rPr>
                <w:rFonts w:hint="eastAsia" w:ascii="仿宋_GB2312" w:hAnsi="仿宋_GB2312" w:eastAsia="仿宋_GB2312"/>
                <w:color w:val="auto"/>
                <w:sz w:val="32"/>
              </w:rPr>
              <w:t>辆，单位价值100万元以上设备</w:t>
            </w:r>
            <w:r>
              <w:rPr>
                <w:rFonts w:hint="eastAsia" w:ascii="仿宋_GB2312" w:hAnsi="仿宋_GB2312" w:eastAsia="仿宋_GB2312"/>
                <w:color w:val="auto"/>
                <w:sz w:val="32"/>
                <w:lang w:val="en-US" w:eastAsia="zh-CN"/>
              </w:rPr>
              <w:t>0</w:t>
            </w:r>
            <w:r>
              <w:rPr>
                <w:rFonts w:hint="eastAsia" w:ascii="仿宋_GB2312" w:hAnsi="仿宋_GB2312" w:eastAsia="仿宋_GB2312"/>
                <w:color w:val="auto"/>
                <w:sz w:val="32"/>
              </w:rPr>
              <w:t>台</w:t>
            </w:r>
            <w:r>
              <w:rPr>
                <w:rFonts w:hint="eastAsia" w:ascii="仿宋_GB2312" w:hAnsi="仿宋_GB2312" w:eastAsia="仿宋_GB2312"/>
                <w:sz w:val="32"/>
              </w:rPr>
              <w:t>（套）。无此项目的也应进行说明。</w:t>
            </w:r>
          </w:p>
          <w:p w14:paraId="065381F1">
            <w:pPr>
              <w:spacing w:beforeLines="0" w:afterLines="0" w:line="555" w:lineRule="exact"/>
              <w:rPr>
                <w:rFonts w:hint="default" w:ascii="仿宋_GB2312" w:hAnsi="仿宋_GB2312" w:eastAsia="仿宋_GB2312"/>
                <w:sz w:val="32"/>
              </w:rPr>
            </w:pPr>
            <w:r>
              <w:rPr>
                <w:rFonts w:hint="eastAsia" w:ascii="楷体_GB2312" w:hAnsi="楷体_GB2312" w:eastAsia="楷体_GB2312"/>
                <w:sz w:val="32"/>
              </w:rPr>
              <w:t>　　（四）绩效目标设置情况</w:t>
            </w:r>
          </w:p>
          <w:p w14:paraId="7C2746EA">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厦门市翔安区萃英小学2024年实行绩效目标管理的二级项目0个，涉及一般公共预算拨款0.00万元、政府性基金预算拨款0.00万元。无此项目的也应进行说明。</w:t>
            </w:r>
          </w:p>
        </w:tc>
      </w:tr>
      <w:tr w14:paraId="03ED3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17C7C8E">
            <w:pPr>
              <w:spacing w:beforeLines="0" w:afterLines="0" w:line="555" w:lineRule="exact"/>
              <w:ind w:left="20"/>
              <w:jc w:val="center"/>
              <w:rPr>
                <w:rFonts w:hint="eastAsia" w:ascii="黑体" w:hAnsi="黑体" w:eastAsia="黑体"/>
                <w:sz w:val="32"/>
              </w:rPr>
            </w:pPr>
            <w:r>
              <w:rPr>
                <w:rFonts w:hint="eastAsia" w:ascii="黑体" w:hAnsi="黑体" w:eastAsia="黑体"/>
                <w:sz w:val="32"/>
              </w:rPr>
              <w:t>第三部分  名词解释</w:t>
            </w:r>
          </w:p>
        </w:tc>
      </w:tr>
      <w:tr w14:paraId="16233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3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14B43CD">
            <w:pPr>
              <w:spacing w:beforeLines="0" w:afterLines="0" w:line="555" w:lineRule="exact"/>
              <w:rPr>
                <w:rFonts w:hint="default" w:ascii="楷体_GB2312" w:hAnsi="楷体_GB2312" w:eastAsia="楷体_GB2312"/>
                <w:sz w:val="32"/>
              </w:rPr>
            </w:pPr>
            <w:r>
              <w:rPr>
                <w:rFonts w:hint="eastAsia" w:ascii="楷体_GB2312" w:hAnsi="楷体_GB2312" w:eastAsia="楷体_GB2312"/>
                <w:sz w:val="32"/>
              </w:rPr>
              <w:t>　　一、基本支出</w:t>
            </w:r>
            <w:r>
              <w:rPr>
                <w:rFonts w:hint="eastAsia" w:ascii="楷体" w:hAnsi="楷体" w:eastAsia="楷体"/>
                <w:sz w:val="32"/>
              </w:rPr>
              <w:t>：</w:t>
            </w:r>
            <w:r>
              <w:rPr>
                <w:rFonts w:hint="eastAsia" w:ascii="仿宋_GB2312" w:hAnsi="仿宋_GB2312" w:eastAsia="仿宋_GB2312"/>
                <w:sz w:val="32"/>
              </w:rPr>
              <w:t>指为保障机构正常运转、完成日常工作任务而发生的人员支出、对个人和家庭的补助支出和公用支出。</w:t>
            </w:r>
          </w:p>
          <w:p w14:paraId="160B8498">
            <w:pPr>
              <w:spacing w:beforeLines="0" w:afterLines="0" w:line="555" w:lineRule="exact"/>
              <w:rPr>
                <w:rFonts w:hint="default" w:ascii="楷体_GB2312" w:hAnsi="楷体_GB2312" w:eastAsia="楷体_GB2312"/>
                <w:sz w:val="32"/>
              </w:rPr>
            </w:pPr>
            <w:r>
              <w:rPr>
                <w:rFonts w:hint="eastAsia" w:ascii="楷体_GB2312" w:hAnsi="楷体_GB2312" w:eastAsia="楷体_GB2312"/>
                <w:sz w:val="32"/>
              </w:rPr>
              <w:t>　　二、项目支出：</w:t>
            </w:r>
            <w:r>
              <w:rPr>
                <w:rFonts w:hint="eastAsia" w:ascii="仿宋_GB2312" w:hAnsi="仿宋_GB2312" w:eastAsia="仿宋_GB2312"/>
                <w:sz w:val="32"/>
              </w:rPr>
              <w:t>指在基本支出之外为完成特定行政任务和事业发展目标所发生的支出，包括部门专项、发展经费和基建项目。</w:t>
            </w:r>
          </w:p>
          <w:p w14:paraId="3CE03D4B">
            <w:pPr>
              <w:spacing w:beforeLines="0" w:afterLines="0" w:line="555" w:lineRule="exact"/>
              <w:rPr>
                <w:rFonts w:hint="default" w:ascii="楷体_GB2312" w:hAnsi="楷体_GB2312" w:eastAsia="楷体_GB2312"/>
                <w:sz w:val="32"/>
              </w:rPr>
            </w:pPr>
            <w:r>
              <w:rPr>
                <w:rFonts w:hint="eastAsia" w:ascii="楷体_GB2312" w:hAnsi="楷体_GB2312" w:eastAsia="楷体_GB2312"/>
                <w:sz w:val="32"/>
              </w:rPr>
              <w:t>　　三、“三公”经费：</w:t>
            </w:r>
            <w:r>
              <w:rPr>
                <w:rFonts w:hint="eastAsia" w:ascii="仿宋_GB2312" w:hAnsi="仿宋_GB2312" w:eastAsia="仿宋_GB2312"/>
                <w:sz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14:paraId="4FFDD972">
            <w:pPr>
              <w:spacing w:beforeLines="0" w:afterLines="0" w:line="555" w:lineRule="exact"/>
              <w:rPr>
                <w:rFonts w:hint="default" w:ascii="楷体_GB2312" w:hAnsi="楷体_GB2312" w:eastAsia="楷体_GB2312"/>
                <w:sz w:val="32"/>
              </w:rPr>
            </w:pPr>
            <w:r>
              <w:rPr>
                <w:rFonts w:hint="eastAsia" w:ascii="楷体_GB2312" w:hAnsi="楷体_GB2312" w:eastAsia="楷体_GB2312"/>
                <w:sz w:val="32"/>
              </w:rPr>
              <w:t>　　四、机关运行经费：</w:t>
            </w:r>
            <w:r>
              <w:rPr>
                <w:rFonts w:hint="eastAsia" w:ascii="仿宋_GB2312" w:hAnsi="仿宋_GB2312" w:eastAsia="仿宋_GB2312"/>
                <w:sz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14:paraId="60A04FCA">
            <w:pPr>
              <w:spacing w:beforeLines="0" w:afterLines="0" w:line="555" w:lineRule="exact"/>
              <w:rPr>
                <w:rFonts w:hint="eastAsia" w:ascii="仿宋_GB2312" w:hAnsi="仿宋_GB2312" w:eastAsia="仿宋_GB2312"/>
                <w:sz w:val="32"/>
              </w:rPr>
            </w:pPr>
            <w:r>
              <w:rPr>
                <w:rFonts w:hint="eastAsia" w:ascii="楷体_GB2312" w:hAnsi="楷体_GB2312" w:eastAsia="楷体_GB2312"/>
                <w:sz w:val="32"/>
              </w:rPr>
              <w:t>　　五、其他名词解释。</w:t>
            </w:r>
            <w:r>
              <w:rPr>
                <w:rFonts w:hint="eastAsia" w:ascii="仿宋_GB2312" w:hAnsi="仿宋_GB2312" w:eastAsia="仿宋_GB2312"/>
                <w:sz w:val="32"/>
              </w:rPr>
              <w:t>由各单位根据实际情况予以增加说明。</w:t>
            </w:r>
          </w:p>
        </w:tc>
      </w:tr>
      <w:tr w14:paraId="0C20A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65384A87">
            <w:pPr>
              <w:spacing w:beforeLines="0" w:afterLines="0" w:line="555" w:lineRule="exact"/>
              <w:ind w:left="20"/>
              <w:jc w:val="center"/>
              <w:rPr>
                <w:rFonts w:hint="eastAsia" w:ascii="黑体" w:hAnsi="黑体" w:eastAsia="黑体"/>
                <w:sz w:val="32"/>
              </w:rPr>
            </w:pPr>
            <w:r>
              <w:rPr>
                <w:rFonts w:hint="eastAsia" w:ascii="黑体" w:hAnsi="黑体" w:eastAsia="黑体"/>
                <w:sz w:val="32"/>
              </w:rPr>
              <w:t>第四部分  2024年单位预算附表</w:t>
            </w:r>
          </w:p>
        </w:tc>
      </w:tr>
      <w:tr w14:paraId="5AA70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2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FAC0830">
            <w:pPr>
              <w:spacing w:beforeLines="0" w:afterLines="0" w:line="540" w:lineRule="exact"/>
              <w:rPr>
                <w:rFonts w:hint="default" w:ascii="仿宋_GB2312" w:hAnsi="仿宋_GB2312" w:eastAsia="仿宋_GB2312"/>
                <w:sz w:val="32"/>
              </w:rPr>
            </w:pPr>
            <w:r>
              <w:rPr>
                <w:rFonts w:hint="eastAsia" w:ascii="仿宋_GB2312" w:hAnsi="仿宋_GB2312" w:eastAsia="仿宋_GB2312"/>
                <w:sz w:val="32"/>
              </w:rPr>
              <w:t>　　一、部门收支预算总体情况表</w:t>
            </w:r>
          </w:p>
          <w:p w14:paraId="617757B4">
            <w:pPr>
              <w:spacing w:beforeLines="0" w:afterLines="0" w:line="540" w:lineRule="exact"/>
              <w:rPr>
                <w:rFonts w:hint="default" w:ascii="仿宋_GB2312" w:hAnsi="仿宋_GB2312" w:eastAsia="仿宋_GB2312"/>
                <w:sz w:val="32"/>
              </w:rPr>
            </w:pPr>
            <w:r>
              <w:rPr>
                <w:rFonts w:hint="eastAsia" w:ascii="仿宋_GB2312" w:hAnsi="仿宋_GB2312" w:eastAsia="仿宋_GB2312"/>
                <w:sz w:val="32"/>
              </w:rPr>
              <w:t>　　二、部门收入预算总体情况表</w:t>
            </w:r>
          </w:p>
          <w:p w14:paraId="64A2F754">
            <w:pPr>
              <w:spacing w:beforeLines="0" w:afterLines="0" w:line="540" w:lineRule="exact"/>
              <w:rPr>
                <w:rFonts w:hint="default" w:ascii="仿宋_GB2312" w:hAnsi="仿宋_GB2312" w:eastAsia="仿宋_GB2312"/>
                <w:sz w:val="32"/>
              </w:rPr>
            </w:pPr>
            <w:r>
              <w:rPr>
                <w:rFonts w:hint="eastAsia" w:ascii="仿宋_GB2312" w:hAnsi="仿宋_GB2312" w:eastAsia="仿宋_GB2312"/>
                <w:sz w:val="32"/>
              </w:rPr>
              <w:t>　　三、部门支出预算总体情况表</w:t>
            </w:r>
          </w:p>
          <w:p w14:paraId="76FE801C">
            <w:pPr>
              <w:spacing w:beforeLines="0" w:afterLines="0" w:line="540" w:lineRule="exact"/>
              <w:rPr>
                <w:rFonts w:hint="default" w:ascii="仿宋_GB2312" w:hAnsi="仿宋_GB2312" w:eastAsia="仿宋_GB2312"/>
                <w:sz w:val="32"/>
              </w:rPr>
            </w:pPr>
            <w:r>
              <w:rPr>
                <w:rFonts w:hint="eastAsia" w:ascii="仿宋_GB2312" w:hAnsi="仿宋_GB2312" w:eastAsia="仿宋_GB2312"/>
                <w:sz w:val="32"/>
              </w:rPr>
              <w:t>　　四、财政拨款收支预算总体情况表</w:t>
            </w:r>
          </w:p>
          <w:p w14:paraId="1B35A4EB">
            <w:pPr>
              <w:spacing w:beforeLines="0" w:afterLines="0" w:line="540" w:lineRule="exact"/>
              <w:rPr>
                <w:rFonts w:hint="default" w:ascii="仿宋_GB2312" w:hAnsi="仿宋_GB2312" w:eastAsia="仿宋_GB2312"/>
                <w:sz w:val="32"/>
              </w:rPr>
            </w:pPr>
            <w:r>
              <w:rPr>
                <w:rFonts w:hint="eastAsia" w:ascii="仿宋_GB2312" w:hAnsi="仿宋_GB2312" w:eastAsia="仿宋_GB2312"/>
                <w:sz w:val="32"/>
              </w:rPr>
              <w:t>　　五、一般公共预算支出情况表</w:t>
            </w:r>
          </w:p>
          <w:p w14:paraId="3F6017DE">
            <w:pPr>
              <w:spacing w:beforeLines="0" w:afterLines="0" w:line="540" w:lineRule="exact"/>
              <w:rPr>
                <w:rFonts w:hint="default" w:ascii="仿宋_GB2312" w:hAnsi="仿宋_GB2312" w:eastAsia="仿宋_GB2312"/>
                <w:sz w:val="32"/>
              </w:rPr>
            </w:pPr>
            <w:r>
              <w:rPr>
                <w:rFonts w:hint="eastAsia" w:ascii="仿宋_GB2312" w:hAnsi="仿宋_GB2312" w:eastAsia="仿宋_GB2312"/>
                <w:sz w:val="32"/>
              </w:rPr>
              <w:t>　　六、一般公共预算基本支出情况表（经济分类款级科目）</w:t>
            </w:r>
          </w:p>
          <w:p w14:paraId="2B5DD1EE">
            <w:pPr>
              <w:spacing w:beforeLines="0" w:afterLines="0" w:line="540" w:lineRule="exact"/>
              <w:rPr>
                <w:rFonts w:hint="default" w:ascii="仿宋_GB2312" w:hAnsi="仿宋_GB2312" w:eastAsia="仿宋_GB2312"/>
                <w:sz w:val="32"/>
              </w:rPr>
            </w:pPr>
            <w:r>
              <w:rPr>
                <w:rFonts w:hint="eastAsia" w:ascii="仿宋_GB2312" w:hAnsi="仿宋_GB2312" w:eastAsia="仿宋_GB2312"/>
                <w:sz w:val="32"/>
              </w:rPr>
              <w:t>　　七、一般公共预算“三公”经费支出情况表</w:t>
            </w:r>
          </w:p>
          <w:p w14:paraId="092CC93B">
            <w:pPr>
              <w:spacing w:beforeLines="0" w:afterLines="0" w:line="540" w:lineRule="exact"/>
              <w:rPr>
                <w:rFonts w:hint="default" w:ascii="仿宋_GB2312" w:hAnsi="仿宋_GB2312" w:eastAsia="仿宋_GB2312"/>
                <w:sz w:val="32"/>
              </w:rPr>
            </w:pPr>
            <w:r>
              <w:rPr>
                <w:rFonts w:hint="eastAsia" w:ascii="仿宋_GB2312" w:hAnsi="仿宋_GB2312" w:eastAsia="仿宋_GB2312"/>
                <w:sz w:val="32"/>
              </w:rPr>
              <w:t>　　八、政府性基金预算支出情况表</w:t>
            </w:r>
          </w:p>
          <w:p w14:paraId="276B1BAB">
            <w:pPr>
              <w:spacing w:beforeLines="0" w:afterLines="0" w:line="540" w:lineRule="exact"/>
              <w:rPr>
                <w:rFonts w:hint="default" w:ascii="仿宋" w:hAnsi="仿宋" w:eastAsia="仿宋"/>
                <w:sz w:val="32"/>
              </w:rPr>
            </w:pPr>
            <w:r>
              <w:rPr>
                <w:rFonts w:hint="eastAsia" w:ascii="仿宋_GB2312" w:hAnsi="仿宋_GB2312" w:eastAsia="仿宋_GB2312"/>
                <w:sz w:val="32"/>
              </w:rPr>
              <w:t>　　九、区对镇（街）转移支付项目支出预算表</w:t>
            </w:r>
          </w:p>
          <w:p w14:paraId="1FD846F1">
            <w:pPr>
              <w:spacing w:beforeLines="0" w:afterLines="0" w:line="540" w:lineRule="exact"/>
              <w:rPr>
                <w:rFonts w:hint="eastAsia" w:ascii="黑体" w:hAnsi="黑体" w:eastAsia="黑体"/>
                <w:sz w:val="32"/>
              </w:rPr>
            </w:pPr>
            <w:r>
              <w:rPr>
                <w:rFonts w:hint="eastAsia" w:ascii="黑体" w:hAnsi="黑体" w:eastAsia="黑体"/>
                <w:sz w:val="32"/>
              </w:rPr>
              <w:t>　　（以上没有数据的表格也要列出空表并作出说明）</w:t>
            </w:r>
          </w:p>
        </w:tc>
      </w:tr>
    </w:tbl>
    <w:p w14:paraId="47D270D8"/>
    <w:sectPr>
      <w:footerReference r:id="rId4" w:type="default"/>
      <w:pgSz w:w="11905" w:h="16837"/>
      <w:pgMar w:top="1388" w:right="1559" w:bottom="1388" w:left="1559"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roman"/>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华文仿宋">
    <w:altName w:val="仿宋"/>
    <w:panose1 w:val="02010600040101010101"/>
    <w:charset w:val="86"/>
    <w:family w:val="roman"/>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
      <w:tblW w:w="94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14:paraId="12D87B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3163" w:type="dxa"/>
          <w:tcBorders>
            <w:top w:val="nil"/>
            <w:left w:val="nil"/>
            <w:bottom w:val="nil"/>
            <w:right w:val="nil"/>
            <w:tl2br w:val="nil"/>
            <w:tr2bl w:val="nil"/>
          </w:tcBorders>
          <w:shd w:val="clear" w:color="auto" w:fill="FFFFFF"/>
          <w:noWrap w:val="0"/>
          <w:vAlign w:val="top"/>
        </w:tcPr>
        <w:p w14:paraId="2638421D">
          <w:pPr>
            <w:spacing w:beforeLines="0" w:afterLines="0"/>
            <w:rPr>
              <w:rFonts w:hint="default"/>
              <w:sz w:val="24"/>
            </w:rPr>
          </w:pPr>
        </w:p>
      </w:tc>
      <w:tc>
        <w:tcPr>
          <w:tcW w:w="3163" w:type="dxa"/>
          <w:tcBorders>
            <w:top w:val="nil"/>
            <w:left w:val="nil"/>
            <w:bottom w:val="nil"/>
            <w:right w:val="nil"/>
            <w:tl2br w:val="nil"/>
            <w:tr2bl w:val="nil"/>
          </w:tcBorders>
          <w:shd w:val="clear" w:color="auto" w:fill="FFFFFF"/>
          <w:noWrap w:val="0"/>
          <w:vAlign w:val="top"/>
        </w:tcPr>
        <w:p w14:paraId="151BEAE9">
          <w:pPr>
            <w:spacing w:beforeLines="0" w:afterLines="0" w:line="320" w:lineRule="atLeast"/>
            <w:jc w:val="center"/>
            <w:rPr>
              <w:rFonts w:hint="eastAsia" w:ascii="宋体" w:hAnsi="宋体" w:eastAsia="宋体"/>
              <w:sz w:val="18"/>
            </w:rPr>
          </w:pPr>
          <w:r>
            <w:rPr>
              <w:rFonts w:hint="eastAsia" w:ascii="宋体" w:hAnsi="宋体" w:eastAsia="宋体"/>
              <w:sz w:val="18"/>
            </w:rPr>
            <w:fldChar w:fldCharType="begin"/>
          </w:r>
          <w:r>
            <w:rPr>
              <w:rFonts w:hint="eastAsia" w:ascii="宋体" w:hAnsi="宋体" w:eastAsia="宋体"/>
              <w:sz w:val="18"/>
            </w:rPr>
            <w:instrText xml:space="preserve">PAGE</w:instrText>
          </w:r>
          <w:r>
            <w:rPr>
              <w:rFonts w:hint="eastAsia" w:ascii="宋体" w:hAnsi="宋体" w:eastAsia="宋体"/>
              <w:sz w:val="18"/>
            </w:rPr>
            <w:fldChar w:fldCharType="separate"/>
          </w:r>
          <w:r>
            <w:rPr>
              <w:rFonts w:hint="eastAsia" w:ascii="宋体" w:hAnsi="宋体" w:eastAsia="宋体"/>
              <w:sz w:val="18"/>
            </w:rPr>
            <w:t xml:space="preserve"> </w:t>
          </w:r>
          <w:r>
            <w:rPr>
              <w:rFonts w:hint="eastAsia" w:ascii="宋体" w:hAnsi="宋体" w:eastAsia="宋体"/>
              <w:sz w:val="18"/>
            </w:rPr>
            <w:fldChar w:fldCharType="end"/>
          </w:r>
          <w:r>
            <w:rPr>
              <w:rFonts w:hint="eastAsia" w:ascii="宋体" w:hAnsi="宋体" w:eastAsia="宋体"/>
              <w:sz w:val="18"/>
            </w:rPr>
            <w:t xml:space="preserve"> </w:t>
          </w:r>
        </w:p>
      </w:tc>
      <w:tc>
        <w:tcPr>
          <w:tcW w:w="3163" w:type="dxa"/>
          <w:tcBorders>
            <w:top w:val="nil"/>
            <w:left w:val="nil"/>
            <w:bottom w:val="nil"/>
            <w:right w:val="nil"/>
            <w:tl2br w:val="nil"/>
            <w:tr2bl w:val="nil"/>
          </w:tcBorders>
          <w:shd w:val="clear" w:color="auto" w:fill="FFFFFF"/>
          <w:noWrap w:val="0"/>
          <w:vAlign w:val="top"/>
        </w:tcPr>
        <w:p w14:paraId="03F2E4E2">
          <w:pPr>
            <w:spacing w:beforeLines="0" w:afterLines="0"/>
            <w:rPr>
              <w:rFonts w:hint="default"/>
              <w:sz w:val="24"/>
            </w:rPr>
          </w:pPr>
        </w:p>
      </w:tc>
    </w:tr>
  </w:tbl>
  <w:p w14:paraId="1F555A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E27AD"/>
    <w:multiLevelType w:val="multilevel"/>
    <w:tmpl w:val="822E27AD"/>
    <w:lvl w:ilvl="0" w:tentative="0">
      <w:start w:val="2"/>
      <w:numFmt w:val="chineseCounting"/>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1MGE1ODg4NzE2MjQ2MmQ1M2Q2YmIzYjEyMWJiMjMifQ=="/>
  </w:docVars>
  <w:rsids>
    <w:rsidRoot w:val="00172A27"/>
    <w:rsid w:val="00AE2D42"/>
    <w:rsid w:val="293E456D"/>
    <w:rsid w:val="2DDB2FB7"/>
    <w:rsid w:val="39902B32"/>
    <w:rsid w:val="3E5B59C2"/>
    <w:rsid w:val="443B3F39"/>
    <w:rsid w:val="45526670"/>
    <w:rsid w:val="55CC50BB"/>
    <w:rsid w:val="77F051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iPriority="99" w:semiHidden="0" w:name="Normal"/>
    <w:lsdException w:qFormat="1" w:uiPriority="99" w:semiHidden="0" w:name="heading 1"/>
    <w:lsdException w:qFormat="1" w:uiPriority="99" w:semiHidden="0" w:name="heading 2"/>
    <w:lsdException w:qFormat="1" w:uiPriority="99" w:semiHidden="0"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99"/>
    <w:pPr>
      <w:widowControl w:val="0"/>
      <w:autoSpaceDE w:val="0"/>
      <w:autoSpaceDN w:val="0"/>
      <w:adjustRightInd w:val="0"/>
      <w:spacing w:beforeLines="0" w:afterLines="0"/>
    </w:pPr>
    <w:rPr>
      <w:rFonts w:hint="default" w:ascii="Arial" w:hAnsi="Arial" w:eastAsia="宋体" w:cs="Times New Roman"/>
      <w:color w:val="000000"/>
      <w:sz w:val="24"/>
    </w:rPr>
  </w:style>
  <w:style w:type="paragraph" w:styleId="2">
    <w:name w:val="heading 1"/>
    <w:next w:val="1"/>
    <w:unhideWhenUsed/>
    <w:qFormat/>
    <w:uiPriority w:val="99"/>
    <w:pPr>
      <w:widowControl w:val="0"/>
      <w:autoSpaceDE w:val="0"/>
      <w:autoSpaceDN w:val="0"/>
      <w:adjustRightInd w:val="0"/>
      <w:spacing w:beforeLines="0" w:afterLines="0"/>
    </w:pPr>
    <w:rPr>
      <w:rFonts w:hint="default" w:ascii="Arial" w:hAnsi="Arial" w:eastAsia="宋体" w:cs="Times New Roman"/>
      <w:b/>
      <w:color w:val="000000"/>
      <w:sz w:val="32"/>
    </w:rPr>
  </w:style>
  <w:style w:type="paragraph" w:styleId="3">
    <w:name w:val="heading 2"/>
    <w:next w:val="1"/>
    <w:unhideWhenUsed/>
    <w:qFormat/>
    <w:uiPriority w:val="99"/>
    <w:pPr>
      <w:widowControl w:val="0"/>
      <w:autoSpaceDE w:val="0"/>
      <w:autoSpaceDN w:val="0"/>
      <w:adjustRightInd w:val="0"/>
      <w:spacing w:beforeLines="0" w:afterLines="0"/>
    </w:pPr>
    <w:rPr>
      <w:rFonts w:hint="default" w:ascii="Arial" w:hAnsi="Arial" w:eastAsia="宋体" w:cs="Times New Roman"/>
      <w:b/>
      <w:i/>
      <w:color w:val="000000"/>
      <w:sz w:val="28"/>
    </w:rPr>
  </w:style>
  <w:style w:type="paragraph" w:styleId="4">
    <w:name w:val="heading 3"/>
    <w:next w:val="1"/>
    <w:unhideWhenUsed/>
    <w:qFormat/>
    <w:uiPriority w:val="99"/>
    <w:pPr>
      <w:widowControl w:val="0"/>
      <w:autoSpaceDE w:val="0"/>
      <w:autoSpaceDN w:val="0"/>
      <w:adjustRightInd w:val="0"/>
      <w:spacing w:beforeLines="0" w:afterLines="0"/>
    </w:pPr>
    <w:rPr>
      <w:rFonts w:hint="default" w:ascii="Arial" w:hAnsi="Arial" w:eastAsia="宋体" w:cs="Times New Roman"/>
      <w:b/>
      <w:color w:val="000000"/>
      <w:sz w:val="26"/>
    </w:rPr>
  </w:style>
  <w:style w:type="character" w:default="1" w:styleId="6">
    <w:name w:val="Default Paragraph Font"/>
    <w:semiHidden/>
    <w:unhideWhenUsed/>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3543</Words>
  <Characters>3864</Characters>
  <TotalTime>1</TotalTime>
  <ScaleCrop>false</ScaleCrop>
  <LinksUpToDate>false</LinksUpToDate>
  <CharactersWithSpaces>4068</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2024-06-27T18:29:00Z</dcterms:created>
  <dc:creator>Administrator</dc:creator>
  <cp:lastModifiedBy>cf</cp:lastModifiedBy>
  <dcterms:modified xsi:type="dcterms:W3CDTF">2024-08-27T10:40:05Z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1AE79140F73F42FF924F6B1F26829248_12</vt:lpwstr>
  </property>
</Properties>
</file>