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ascii="Calibri" w:hAnsi="Calibri" w:cs="Calibri"/>
          <w:i w:val="0"/>
          <w:caps w:val="0"/>
          <w:color w:val="555555"/>
          <w:spacing w:val="0"/>
          <w:sz w:val="14"/>
          <w:szCs w:val="14"/>
        </w:rPr>
      </w:pPr>
      <w:r>
        <w:rPr>
          <w:rFonts w:ascii="仿宋_GB2312" w:hAnsi="Calibri" w:eastAsia="仿宋_GB2312" w:cs="仿宋_GB2312"/>
          <w:i w:val="0"/>
          <w:caps w:val="0"/>
          <w:color w:val="555555"/>
          <w:spacing w:val="0"/>
          <w:kern w:val="0"/>
          <w:sz w:val="32"/>
          <w:szCs w:val="32"/>
          <w:bdr w:val="none" w:color="auto" w:sz="0" w:space="0"/>
          <w:shd w:val="clear" w:fill="FFFFFF"/>
          <w:lang w:val="en-US" w:eastAsia="zh-CN" w:bidi="ar"/>
        </w:rPr>
        <w:t>附件1</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center"/>
        <w:rPr>
          <w:rFonts w:hint="default" w:ascii="Calibri" w:hAnsi="Calibri" w:cs="Calibri"/>
          <w:i w:val="0"/>
          <w:caps w:val="0"/>
          <w:color w:val="555555"/>
          <w:spacing w:val="0"/>
          <w:sz w:val="14"/>
          <w:szCs w:val="14"/>
        </w:rPr>
      </w:pPr>
      <w:r>
        <w:rPr>
          <w:rFonts w:hint="eastAsia" w:ascii="仿宋_GB2312" w:hAnsi="Calibri" w:eastAsia="仿宋_GB2312" w:cs="仿宋_GB2312"/>
          <w:b/>
          <w:i w:val="0"/>
          <w:caps w:val="0"/>
          <w:color w:val="555555"/>
          <w:spacing w:val="0"/>
          <w:kern w:val="0"/>
          <w:sz w:val="36"/>
          <w:szCs w:val="36"/>
          <w:bdr w:val="none" w:color="auto" w:sz="0" w:space="0"/>
          <w:shd w:val="clear" w:fill="FFFFFF"/>
          <w:lang w:val="en-US" w:eastAsia="zh-CN" w:bidi="ar"/>
        </w:rPr>
        <w:t>农业生产发展资金项目实施方案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中央财政农业生产发展资金主要用于对农民直接补贴，以及支持农业绿色发展与技术服务、农业经营方式创新、农业产业发展等方面工作。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一、稳定实施直接补贴政策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一）稳定实施耕地地力保护补贴。认真执行《财政部、农业部关于全面推开农业“三项补贴”改革工作的通知》（财农〔2016〕26号）和《财政部办公厅、农业农村部办公厅关于进一步做好耕地地力保护补贴工作的通知》（财办农〔2021〕11号）要求，继续稳定实施耕地地力保护补贴政策。严格落实国家关于耕地用途管制的相关规定，加大耕地使用情况的核实力度，对已作为畜牧养殖场使用的耕地、林地、草地、成片粮田转为设施农业用地的耕地、非农业征（占）用耕地等已改变用途的耕地不得再给予补贴，对抛荒一年以上的，取消次年补贴资格。按照严格落实耕地利用优先序要求，进一步强化耕地地力保护补贴政策导向，建立健全耕地地力保护补贴发放与耕地执法监督检查联动机制，坚决遏制耕地“非农化”、基本农田“非粮化”。按照直达资金管理要求，加强部门协作，完善政策制度，优化工作流程，规范管理方式，做好政策宣传，确保政策稳定实施。做好直达资金监控系统标准化录入表格衔接工作，具备条件的地区做好“一卡通”系统与直达资金监控系统对接。用好直达资金监控系统，加强资金监管，逐步构建形成补贴大数据管理系统，提升补贴发放的规范性、精准性和时效性。严防补贴资金“跑冒滴漏”，对骗取、贪污、挤占、挪用或违规发放等行为，依法依规严肃处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二）发放实际种粮农民一次性补贴。认真执行《财政部关于下达2022年实际种粮农民一次性补贴资金预算的通知》（财农〔2022〕16号）有关要求，尽快将补贴发放到实际种粮农民手中。各级财政、农业农村部门要进一步完善工作机制，明确责任分工，密切沟通协作，形成工作合力。完善管理制度，简化工作流程，加快拨付进度，不得以任何理由滞拨滞留资金。梳理资金拨付流程，建立定期调度制度，跟踪资金拨付进展情况，做好执行分析，发放情况及时上报转移支付管理平台。加强“一卡通”基础数据的维护与更新，及时向代发银行同步发送账户明细，确保补贴真正发放到实际种粮农民手中。对因基础信息有误而造成发放失败的，及时根据银行反馈数据更正信息，严禁以拨作支，在“一卡通”代发专户形成沉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三）实施农机购置与应用补贴政策。在落实《农业农村部办公厅、财政部办公厅关于印发〈2021—2023年农机购置补贴实施指导意见〉的通知》（农办计财〔2021〕8号）要求基础上，开展农机购置与应用补贴试点，探索创新以机具应用为前提的补贴资金兑付方式。开展农机研发制造推广应用一体化试点，加快大型高端智能农机、丘陵山区先进适用小型小众机械、打包采棉机等短板弱项机具创制与北斗智能监测终端及辅助驾驶系统集成应用，促进农机产业自主安全可控和高质量发展。着力推进补贴机具有进有出、优机优补、补短强弱、奖优罚劣，重点支持粮食烘干、履带式作业、玉米大豆带状复合种植、油菜收获等专用机具和丘陵山区小型适用机具，大力推广现代种养业和智慧农业发展急需的成套设施装备。逐步降低区域内保有量明显过多、技术相对落后机具品目（档次）的补贴额，或退出补贴范围，其中轮式拖拉机补贴额测算比例降低至20%以下。支持将粮油作物生产机械化薄弱环节、玉米大豆带状复合种植所需创新产品和成套设施装备纳入补贴试点，按规定适当提高补贴标准，且相关机具不占用农机新产品试点的资金规模及品目指标，省域内提高补贴额测算比例机具累计不超过10个品目。深化农机产品认证证书在补贴机具资质采信中的运用，强化拖拉机、植保无人驾驶航空器、北斗终端等重点、新型补贴机具资质要求，并可采信认证证书和第三方检测报告作为投档依据，积极探索区域一体化投档资料形式审核和补贴额测算比例提高、实施地方累加补贴、新进补贴范围等重点监管机具现场演示评价，从严整治提供不实投档资料、虚开发票、虚构报补等较重及以上违规行为，引导企业规范参与补贴政策实施，切实提高产品质量和制造水平。抓实抓细高价值、高补贴额度和累加补贴机具的监督管理，严禁将补贴额与机具价格直接挂钩，强化风险评估和应急处置，大力推动二维码识别、手机APP申请、物联网监测等信息化措施落地见效。依法落实省级财政支出责任，共同保障补贴资金需求，对支出责任履行不到位的省份，将纳入绩效评价并相应扣减下年度中央财政资金。认真落实补贴申请审核、补贴资金兑付等限时办理规定，切实加快补贴资金兑付，保障农民合法权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二、持续推进农业绿色发展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一）实施重点作物绿色高质高效行动。聚焦围绕粮食和大豆油料作物，推行种植品种、肥水管理、病虫防控、技术指导和机械作业“五统一”，集成推广新技术、新品种、新机具，打造一批优质强筋弱筋专用小麦、优质食味稻和专用加工早稻、高产优质玉米的粮食示范基地，同时集成示范推广高油高蛋白大豆、“双低”油菜、高油高油酸花生等优质品种和区域化、标准化高产栽培技术模式，打造一批大豆油料高产攻关田，示范带动大范围均衡增产。选择适宜地区开展盐碱地大豆高质高效种植示范，挖掘扩种潜力。适当兼顾蔬菜等经济作物，建设绿色高质高效样板田和品质提升基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二）深化基层农技推广体系改革与建设。利用国家现代农业科技展示基地等平台载体，聚焦粮食稳产增产、大豆油料扩种、农产品有效供给等重点，根据不同区域自然条件和生产方式，示范推广重大引领性技术和农业主推技术，推动农业科技在县域层面转化应用。继续实施农业重大技术协同推广，激发各类推广主体活力，建立联动推广机制。继续实施农技推广特聘计划，通过政府购买服务等方式，从乡土专家、新型农业经营主体、种养能手中招募特聘农技（动物防疫）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三、发展壮大乡村产业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一）加快推进农业产业融合发展。统筹布局建设一批国家现代农业产业园、优势特色产业集群和农业产业强镇。重点围绕保障国家粮食安全和重要农产品有效供给，聚焦稻谷、小麦、玉米、大豆、油菜、花生、牛羊、生猪、淡水养殖、天然橡胶、棉花、食糖、奶类、种业、设施蔬菜等重要农产品，适当兼顾其他特色农产品，构建以产业强镇为基础、产业园为引擎、产业集群为骨干，省县乡梯次布局、点线面协同推进的现代乡村产业体系，整体提升产业发展质量效益和竞争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二）实施奶业振兴行动和畜禽健康养殖。一是整县推进奶业生产能力提升。择优支持奶业大县发展奶牛标准化规模养殖，推广应用先进智能设施装备，推进奶牛养殖和饲草料种植配套衔接，选择有条件的奶农、农民专业合作社依靠自有奶源开展养加一体化试点，示范带动奶业高质量发展。实施苜蓿发展行动，支持苜蓿种植、收获、运输、加工、储存等基础设施建设和装备提升，增强苜蓿等优质饲草料供给能力。二是实施粮改饲。以农牧交错带和黄淮海地区为重点，支持规模化草食家畜养殖场（户）、企业或农民专业合作社以及专业化饲草收储服务组织等主体，收储使用青贮玉米、苜蓿、饲用燕麦、黑麦草、饲用黑麦、饲用高粱等优质饲草，通过以养带种的方式加快推动种植结构调整和现代饲草产业发展。各地可根据当地养殖传统和资源情况，因地制宜将有饲用需求的区域特色饲草品种纳入范围。三是实施肉牛肉羊增量提质行动。进一步扩大项目实施范围，在吉林、山东、河南等19个省（自治区）选择产业基础相对较好的牛（羊）养殖大县，支持开展基础母牛扩群提质和种草养牛养羊全产业链发展。四是实施良种补贴。在主要草原牧区省份对项目区内使用良种精液开展人工授精的肉牛养殖场（户），以及购买优良种公畜进行繁殖的存栏能繁母羊30只以上、牦牛能繁母牛25头以上的养殖场（户）给予适当补助，支持牧区畜牧良种推广。在生猪大县对使用良种猪精液开展人工授精的生猪养殖场（户）给予适当补助，加快生猪品种改良。五是实施蜂业质量提升行动。支持蜜蜂遗传资源保护利用，改善养殖设施装备水平，支持蜂农开展防灾减灾，开展农作物高效蜂授粉试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三）支持种业发展。鼓励地方探索以保促用、保用结合的资源保护利用方式，持续加强育种创新基础性工作，推动种业高质量发展。继续支持符合条件的国家畜禽遗传资源保种场、保护区和基因库等国家级畜禽遗传资源保护品种保护单位开展畜禽遗传资源保护，支持符合条件的国家畜禽核心育种场、种公畜站、奶牛生产性能测定中心等开展种畜禽和奶牛生产性能测定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四）推进地理标志农产品保护和发展。围绕生产标准化、产品特色化、身份标识化和全程数字化，完善相关标准和技术规范，支持开展地理标志农产品特色种质保存、特色品质保持和特征品质评价，推进全产业链生产标准化，挖掘农耕文化，加强宣传推介，强化质量安全监管和品牌打造，推动地理标志农产品产业发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四、大力培育新型农业经营主体</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一）提升新型农业经营主体技术应用和生产经营能力。支持县级及以上农民合作社示范社和示范家庭农场改善生产经营条件，规范财务核算，应用先进技术，推进社企对接，提升规模化、集约化、信息化生产能力。着力加大对从事粮食和大豆油料种植的家庭农场和农民专业合作社、联合社支持力度。鼓励各地加强新型农业经营主体辅导员队伍和服务中心建设，可通过政府购买服务方式，委托其为家庭农场和农民专业合作社提供技术指导、产业发展、财务管理、市场营销等服务。鼓励各地开展农民专业合作社质量提升整县推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二）推广农业生产社会化服务。聚焦围绕粮食和大豆油料生产，支持符合条件的农民专业合作社、农村集体经济组织、专业服务公司和供销合作社等主体开展农业社会化服务，推动服务带动型规模经营发展。要根据资源禀赋、产业特点、劳动力转移程度、农业机械化水平和小农户生产需求等因素，因地制宜确定补助方式与标准，加强与其他农业生产支持政策的衔接配套，支持各类服务主体集中连片开展单环节、多环节、全程托管等服务，提高技术到位率、服务覆盖面和补贴精准性，推动节本增效和农民增收。推进北斗作业监测终端安装与应用，探索将监测数据作为作业补助面积核定、相关补贴资金发放等工作的重要参考依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三）强化高素质农民培育。统筹推进新型农业经营主体能力提升、种养加能手技能培训、农村创新创业者培养、乡村治理及社会事业发展带头人培育。继续开展农村实用人才带头人和到村任职选调生培训。启动实施乡村产业振兴带头人培育“头雁”项目，打造一支与农业农村现代化相适应，能够引领一方、带动一片的乡村产业振兴带头人“头雁”队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四）稳步推进农产品产地冷藏保鲜设施建设。重点围绕蔬菜、水果等鲜活农产品，兼顾地方优势特色品种，合理布局建设农产品产地冷藏保鲜设施，加快补齐发展短板，提高设施运营效率。在实施区域上，在各省（自治区、直辖市）、新疆生产建设兵团实施，并择优支持蔬菜、水果等产业重点县开展整县推进。832个脱贫县可充分用好涉农资金统筹整合试点政策，通过中央财政衔接推进乡村振兴补助资金支持产地冷藏保鲜设施建设。在建设内容上，重点支持建设通风贮藏设施、机械冷藏库、气调冷藏库，以及预冷设施设备和其他配套设施设备，具体由主体根据实际需要确定类型和建设规模。在实施主体上，依托县级及以上示范家庭农场和农民专业合作社示范社、已登记的农村集体经济组织实施。在补助标准上，按照不超过建设设施总造价的30%进行补贴，单个主体补贴规模最高不超过100万元，具体补贴标准由地方制定。在操作方式上，采取“先建后补、以奖代补”的方式，各地利用农业农村部农产品产地冷藏保鲜设施建设项目管理系统进行管理，实行建设申请、审核、公示到补助发放全过程线上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280"/>
        <w:jc w:val="both"/>
        <w:rPr>
          <w:rFonts w:hint="default" w:ascii="Calibri" w:hAnsi="Calibri" w:cs="Calibri"/>
          <w:i w:val="0"/>
          <w:caps w:val="0"/>
          <w:color w:val="555555"/>
          <w:spacing w:val="0"/>
          <w:sz w:val="14"/>
          <w:szCs w:val="14"/>
        </w:rPr>
      </w:pPr>
      <w:r>
        <w:rPr>
          <w:rFonts w:hint="eastAsia" w:ascii="仿宋_GB2312" w:hAnsi="Calibri" w:eastAsia="仿宋_GB2312" w:cs="仿宋_GB2312"/>
          <w:i w:val="0"/>
          <w:caps w:val="0"/>
          <w:color w:val="555555"/>
          <w:spacing w:val="0"/>
          <w:kern w:val="0"/>
          <w:sz w:val="32"/>
          <w:szCs w:val="32"/>
          <w:bdr w:val="none" w:color="auto" w:sz="0" w:space="0"/>
          <w:shd w:val="clear" w:fill="FFFFFF"/>
          <w:lang w:val="en-US" w:eastAsia="zh-CN" w:bidi="ar"/>
        </w:rPr>
        <w:t>（五）推动全国农担体系健康可持续发展。坚持全国农担体系的政策性定位，优化完善补奖政策，健全“双控”和政策性任务确认机制，强化对“双控”业务量化考核，引导农担体系坚持聚焦主业，防范风险。加大对粮食和大豆油料生产、乡村产业发展等重点领域的支持力度，加强与政府部门、银行和其他担保机构的深度合作，助力农业经营主体信贷直通车常态化服务，提升数字化、信息化服务水平，加快发展首担、信用担。坚守底线思维，压实地方责任，探索通过标准风控模型、大数据预审等技术手段，加强项目管理，及时预警处置，在推动农担业务高质量发展中防范化解风险。</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737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2023-11-20T01:27:39Z</dcterms:created>
  <dc:creator>Administrator</dc:creator>
  <cp:lastModifiedBy>Administrator</cp:lastModifiedBy>
  <dcterms:modified xsi:type="dcterms:W3CDTF">2023-11-20T01:27:46Z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